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FFA" w:rsidRPr="00A67B9E" w:rsidRDefault="00692FFA" w:rsidP="00A67B9E">
      <w:pPr>
        <w:pStyle w:val="NoSpacing"/>
        <w:rPr>
          <w:rFonts w:cs="Arial"/>
        </w:rPr>
      </w:pPr>
    </w:p>
    <w:p w:rsidR="00692FFA" w:rsidRDefault="00430056" w:rsidP="00A67B9E">
      <w:pPr>
        <w:pStyle w:val="Default"/>
        <w:rPr>
          <w:sz w:val="22"/>
          <w:szCs w:val="22"/>
        </w:rPr>
      </w:pPr>
      <w:r w:rsidRPr="00430056">
        <w:rPr>
          <w:noProof/>
          <w:sz w:val="22"/>
          <w:szCs w:val="22"/>
        </w:rPr>
        <mc:AlternateContent>
          <mc:Choice Requires="wps">
            <w:drawing>
              <wp:anchor distT="45720" distB="45720" distL="114300" distR="114300" simplePos="0" relativeHeight="251660288" behindDoc="0" locked="0" layoutInCell="1" allowOverlap="1" wp14:anchorId="3A41E885" wp14:editId="5F736CEA">
                <wp:simplePos x="0" y="0"/>
                <wp:positionH relativeFrom="column">
                  <wp:posOffset>203200</wp:posOffset>
                </wp:positionH>
                <wp:positionV relativeFrom="paragraph">
                  <wp:posOffset>169545</wp:posOffset>
                </wp:positionV>
                <wp:extent cx="50927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04620"/>
                        </a:xfrm>
                        <a:prstGeom prst="rect">
                          <a:avLst/>
                        </a:prstGeom>
                        <a:solidFill>
                          <a:schemeClr val="accent1"/>
                        </a:solidFill>
                        <a:ln w="9525">
                          <a:noFill/>
                          <a:miter lim="800000"/>
                          <a:headEnd/>
                          <a:tailEnd/>
                        </a:ln>
                      </wps:spPr>
                      <wps:txbx>
                        <w:txbxContent>
                          <w:p w:rsidR="00430056" w:rsidRPr="00430056" w:rsidRDefault="00430056" w:rsidP="00430056">
                            <w:pPr>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05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 East Local Authorities Sexual and Reproductive Health Services Cross Charging Policy - March 2019</w:t>
                            </w:r>
                          </w:p>
                          <w:p w:rsidR="00430056" w:rsidRDefault="004300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1E885" id="_x0000_t202" coordsize="21600,21600" o:spt="202" path="m,l,21600r21600,l21600,xe">
                <v:stroke joinstyle="miter"/>
                <v:path gradientshapeok="t" o:connecttype="rect"/>
              </v:shapetype>
              <v:shape id="Text Box 2" o:spid="_x0000_s1026" type="#_x0000_t202" style="position:absolute;margin-left:16pt;margin-top:13.35pt;width:40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" fillcolor="#4f81bd [3204]" stroked="f">
                <v:textbox style="mso-fit-shape-to-text:t">
                  <w:txbxContent>
                    <w:p w:rsidR="00430056" w:rsidRPr="00430056" w:rsidRDefault="00430056" w:rsidP="00430056">
                      <w:pPr>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056">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 East Local Authorities Sexual and Reproductive Health Services Cross Charging Policy - March 2019</w:t>
                      </w:r>
                    </w:p>
                    <w:p w:rsidR="00430056" w:rsidRDefault="00430056"/>
                  </w:txbxContent>
                </v:textbox>
                <w10:wrap type="square"/>
              </v:shape>
            </w:pict>
          </mc:Fallback>
        </mc:AlternateContent>
      </w:r>
    </w:p>
    <w:p w:rsidR="00430056" w:rsidRDefault="00430056" w:rsidP="00A67B9E">
      <w:pPr>
        <w:pStyle w:val="Default"/>
        <w:rPr>
          <w:sz w:val="22"/>
          <w:szCs w:val="22"/>
        </w:rPr>
      </w:pPr>
    </w:p>
    <w:p w:rsidR="00430056" w:rsidRDefault="00430056" w:rsidP="00A67B9E">
      <w:pPr>
        <w:pStyle w:val="Default"/>
        <w:rPr>
          <w:sz w:val="22"/>
          <w:szCs w:val="22"/>
        </w:rPr>
      </w:pPr>
    </w:p>
    <w:p w:rsidR="00430056" w:rsidRPr="00A67B9E" w:rsidRDefault="00430056" w:rsidP="00A67B9E">
      <w:pPr>
        <w:pStyle w:val="Default"/>
        <w:rPr>
          <w:sz w:val="22"/>
          <w:szCs w:val="22"/>
        </w:rPr>
      </w:pPr>
    </w:p>
    <w:p w:rsidR="005B448B" w:rsidRPr="00A67B9E" w:rsidRDefault="005B448B" w:rsidP="00A67B9E">
      <w:pPr>
        <w:pStyle w:val="Default"/>
        <w:rPr>
          <w:sz w:val="22"/>
          <w:szCs w:val="22"/>
        </w:rPr>
      </w:pPr>
    </w:p>
    <w:p w:rsidR="00430056" w:rsidRDefault="00430056" w:rsidP="00430056">
      <w:pPr>
        <w:pStyle w:val="NoSpacing"/>
        <w:ind w:left="360"/>
        <w:rPr>
          <w:rFonts w:cs="Arial"/>
          <w:b/>
        </w:rPr>
      </w:pPr>
    </w:p>
    <w:p w:rsidR="00430056" w:rsidRPr="00430056" w:rsidRDefault="00430056" w:rsidP="00430056">
      <w:pPr>
        <w:pStyle w:val="NoSpacing"/>
        <w:ind w:left="360"/>
        <w:rPr>
          <w:rFonts w:cs="Arial"/>
          <w:b/>
        </w:rPr>
      </w:pPr>
    </w:p>
    <w:p w:rsidR="0029668B" w:rsidRPr="00A67B9E" w:rsidRDefault="0029668B" w:rsidP="00A67B9E">
      <w:pPr>
        <w:pStyle w:val="NoSpacing"/>
        <w:numPr>
          <w:ilvl w:val="0"/>
          <w:numId w:val="1"/>
        </w:numPr>
        <w:rPr>
          <w:rFonts w:cs="Arial"/>
          <w:b/>
        </w:rPr>
      </w:pPr>
      <w:r w:rsidRPr="00A67B9E">
        <w:rPr>
          <w:rFonts w:cs="Arial"/>
          <w:b/>
        </w:rPr>
        <w:t>Summary</w:t>
      </w:r>
    </w:p>
    <w:p w:rsidR="0029668B" w:rsidRPr="00A67B9E" w:rsidRDefault="0029668B" w:rsidP="00A67B9E">
      <w:pPr>
        <w:pStyle w:val="NoSpacing"/>
        <w:rPr>
          <w:rFonts w:cs="Arial"/>
        </w:rPr>
      </w:pPr>
    </w:p>
    <w:p w:rsidR="00692FFA" w:rsidRPr="00A67B9E" w:rsidRDefault="00692FFA" w:rsidP="00A67B9E">
      <w:pPr>
        <w:pStyle w:val="NoSpacing"/>
        <w:rPr>
          <w:rFonts w:cs="Arial"/>
        </w:rPr>
      </w:pPr>
      <w:r w:rsidRPr="00A67B9E">
        <w:rPr>
          <w:rFonts w:cs="Arial"/>
        </w:rPr>
        <w:t>This Policy</w:t>
      </w:r>
      <w:r w:rsidR="004B30B3">
        <w:t xml:space="preserve"> </w:t>
      </w:r>
      <w:r w:rsidRPr="00A67B9E">
        <w:rPr>
          <w:rFonts w:cs="Arial"/>
        </w:rPr>
        <w:t xml:space="preserve">details how the </w:t>
      </w:r>
      <w:r w:rsidR="0024573C" w:rsidRPr="00A67B9E">
        <w:rPr>
          <w:rFonts w:cs="Arial"/>
        </w:rPr>
        <w:t>eighteen</w:t>
      </w:r>
      <w:r w:rsidRPr="00A67B9E">
        <w:rPr>
          <w:rFonts w:cs="Arial"/>
        </w:rPr>
        <w:t xml:space="preserve"> South East Local Authorities in </w:t>
      </w:r>
      <w:r w:rsidR="00AB094C" w:rsidRPr="00A67B9E">
        <w:rPr>
          <w:rFonts w:cs="Arial"/>
        </w:rPr>
        <w:fldChar w:fldCharType="begin"/>
      </w:r>
      <w:r w:rsidR="00AB094C" w:rsidRPr="00A67B9E">
        <w:rPr>
          <w:rFonts w:cs="Arial"/>
        </w:rPr>
        <w:instrText xml:space="preserve"> REF _Ref454973 \h </w:instrText>
      </w:r>
      <w:r w:rsidR="00B57742" w:rsidRPr="00A67B9E">
        <w:rPr>
          <w:rFonts w:cs="Arial"/>
        </w:rPr>
        <w:instrText xml:space="preserve"> \* MERGEFORMAT </w:instrText>
      </w:r>
      <w:r w:rsidR="00AB094C" w:rsidRPr="00A67B9E">
        <w:rPr>
          <w:rFonts w:cs="Arial"/>
        </w:rPr>
      </w:r>
      <w:r w:rsidR="00AB094C" w:rsidRPr="00A67B9E">
        <w:rPr>
          <w:rFonts w:cs="Arial"/>
        </w:rPr>
        <w:fldChar w:fldCharType="separate"/>
      </w:r>
      <w:r w:rsidR="0027493D" w:rsidRPr="00A67B9E">
        <w:rPr>
          <w:rFonts w:cs="Arial"/>
          <w:color w:val="000000" w:themeColor="text1"/>
        </w:rPr>
        <w:t xml:space="preserve">Table </w:t>
      </w:r>
      <w:r w:rsidR="0027493D" w:rsidRPr="00A67B9E">
        <w:rPr>
          <w:rFonts w:cs="Arial"/>
          <w:noProof/>
          <w:color w:val="000000" w:themeColor="text1"/>
        </w:rPr>
        <w:t>1</w:t>
      </w:r>
      <w:r w:rsidR="00AB094C" w:rsidRPr="00A67B9E">
        <w:rPr>
          <w:rFonts w:cs="Arial"/>
        </w:rPr>
        <w:fldChar w:fldCharType="end"/>
      </w:r>
      <w:r w:rsidR="00AB094C" w:rsidRPr="00A67B9E">
        <w:rPr>
          <w:rFonts w:cs="Arial"/>
        </w:rPr>
        <w:t xml:space="preserve"> </w:t>
      </w:r>
      <w:r w:rsidRPr="00A67B9E">
        <w:rPr>
          <w:rFonts w:cs="Arial"/>
        </w:rPr>
        <w:t xml:space="preserve">will manage non-contracted sexual health out of area activity (residents attending sexual health services commissioned by other Local Authorities in England) and provide clarity on the conditions and payment terms for cross charging. This approach reduces the risk of any legal challenge and applies a consistent and fair approach across the South East Region whilst not exposing any one Local Authority. It is endorsed by the South East Association of Directors of Public Health and the following Local Authorities (see </w:t>
      </w:r>
      <w:r w:rsidR="00AB094C" w:rsidRPr="00A67B9E">
        <w:rPr>
          <w:rFonts w:cs="Arial"/>
        </w:rPr>
        <w:fldChar w:fldCharType="begin"/>
      </w:r>
      <w:r w:rsidR="00AB094C" w:rsidRPr="00A67B9E">
        <w:rPr>
          <w:rFonts w:cs="Arial"/>
        </w:rPr>
        <w:instrText xml:space="preserve"> REF _Ref454973 \h </w:instrText>
      </w:r>
      <w:r w:rsidR="00B57742" w:rsidRPr="00A67B9E">
        <w:rPr>
          <w:rFonts w:cs="Arial"/>
        </w:rPr>
        <w:instrText xml:space="preserve"> \* MERGEFORMAT </w:instrText>
      </w:r>
      <w:r w:rsidR="00AB094C" w:rsidRPr="00A67B9E">
        <w:rPr>
          <w:rFonts w:cs="Arial"/>
        </w:rPr>
      </w:r>
      <w:r w:rsidR="00AB094C" w:rsidRPr="00A67B9E">
        <w:rPr>
          <w:rFonts w:cs="Arial"/>
        </w:rPr>
        <w:fldChar w:fldCharType="separate"/>
      </w:r>
      <w:r w:rsidR="0027493D" w:rsidRPr="00A67B9E">
        <w:rPr>
          <w:rFonts w:cs="Arial"/>
          <w:color w:val="000000" w:themeColor="text1"/>
        </w:rPr>
        <w:t xml:space="preserve">Table </w:t>
      </w:r>
      <w:r w:rsidR="0027493D" w:rsidRPr="00A67B9E">
        <w:rPr>
          <w:rFonts w:cs="Arial"/>
          <w:noProof/>
          <w:color w:val="000000" w:themeColor="text1"/>
        </w:rPr>
        <w:t>1</w:t>
      </w:r>
      <w:r w:rsidR="00AB094C" w:rsidRPr="00A67B9E">
        <w:rPr>
          <w:rFonts w:cs="Arial"/>
        </w:rPr>
        <w:fldChar w:fldCharType="end"/>
      </w:r>
      <w:r w:rsidRPr="00A67B9E">
        <w:rPr>
          <w:rFonts w:cs="Arial"/>
        </w:rPr>
        <w:t>):</w:t>
      </w:r>
    </w:p>
    <w:p w:rsidR="0029668B" w:rsidRPr="00A67B9E" w:rsidRDefault="0029668B" w:rsidP="00A67B9E">
      <w:pPr>
        <w:pStyle w:val="NoSpacing"/>
        <w:rPr>
          <w:rFonts w:cs="Arial"/>
        </w:rPr>
      </w:pPr>
    </w:p>
    <w:p w:rsidR="00AB094C" w:rsidRPr="00A67B9E" w:rsidRDefault="00AB094C" w:rsidP="00A67B9E">
      <w:pPr>
        <w:pStyle w:val="Caption"/>
        <w:rPr>
          <w:rFonts w:cs="Arial"/>
          <w:color w:val="000000" w:themeColor="text1"/>
          <w:sz w:val="22"/>
          <w:szCs w:val="22"/>
        </w:rPr>
      </w:pPr>
      <w:bookmarkStart w:id="0" w:name="_Ref454973"/>
      <w:r w:rsidRPr="00A67B9E">
        <w:rPr>
          <w:rFonts w:cs="Arial"/>
          <w:color w:val="000000" w:themeColor="text1"/>
          <w:sz w:val="22"/>
          <w:szCs w:val="22"/>
        </w:rPr>
        <w:t xml:space="preserve">Table </w:t>
      </w:r>
      <w:r w:rsidRPr="00A67B9E">
        <w:rPr>
          <w:rFonts w:cs="Arial"/>
          <w:color w:val="000000" w:themeColor="text1"/>
          <w:sz w:val="22"/>
          <w:szCs w:val="22"/>
        </w:rPr>
        <w:fldChar w:fldCharType="begin"/>
      </w:r>
      <w:r w:rsidRPr="00A67B9E">
        <w:rPr>
          <w:rFonts w:cs="Arial"/>
          <w:color w:val="000000" w:themeColor="text1"/>
          <w:sz w:val="22"/>
          <w:szCs w:val="22"/>
        </w:rPr>
        <w:instrText xml:space="preserve"> SEQ Table \* ARABIC </w:instrText>
      </w:r>
      <w:r w:rsidRPr="00A67B9E">
        <w:rPr>
          <w:rFonts w:cs="Arial"/>
          <w:color w:val="000000" w:themeColor="text1"/>
          <w:sz w:val="22"/>
          <w:szCs w:val="22"/>
        </w:rPr>
        <w:fldChar w:fldCharType="separate"/>
      </w:r>
      <w:r w:rsidRPr="00A67B9E">
        <w:rPr>
          <w:rFonts w:cs="Arial"/>
          <w:noProof/>
          <w:color w:val="000000" w:themeColor="text1"/>
          <w:sz w:val="22"/>
          <w:szCs w:val="22"/>
        </w:rPr>
        <w:t>1</w:t>
      </w:r>
      <w:r w:rsidRPr="00A67B9E">
        <w:rPr>
          <w:rFonts w:cs="Arial"/>
          <w:color w:val="000000" w:themeColor="text1"/>
          <w:sz w:val="22"/>
          <w:szCs w:val="22"/>
        </w:rPr>
        <w:fldChar w:fldCharType="end"/>
      </w:r>
      <w:bookmarkEnd w:id="0"/>
      <w:r w:rsidRPr="00A67B9E">
        <w:rPr>
          <w:rFonts w:cs="Arial"/>
          <w:color w:val="000000" w:themeColor="text1"/>
          <w:sz w:val="22"/>
          <w:szCs w:val="22"/>
        </w:rPr>
        <w:t>: Upper Tier and Unitary Local Authorities in the South East</w:t>
      </w:r>
    </w:p>
    <w:tbl>
      <w:tblPr>
        <w:tblStyle w:val="TableGrid"/>
        <w:tblW w:w="4942" w:type="pct"/>
        <w:tblInd w:w="108" w:type="dxa"/>
        <w:tblLook w:val="04A0" w:firstRow="1" w:lastRow="0" w:firstColumn="1" w:lastColumn="0" w:noHBand="0" w:noVBand="1"/>
      </w:tblPr>
      <w:tblGrid>
        <w:gridCol w:w="4470"/>
        <w:gridCol w:w="4441"/>
      </w:tblGrid>
      <w:tr w:rsidR="00AB094C" w:rsidRPr="00A67B9E" w:rsidTr="006B7406">
        <w:tc>
          <w:tcPr>
            <w:tcW w:w="2508" w:type="pct"/>
          </w:tcPr>
          <w:p w:rsidR="00AB094C" w:rsidRPr="00A67B9E" w:rsidRDefault="00AB094C" w:rsidP="00A67B9E">
            <w:pPr>
              <w:widowControl w:val="0"/>
              <w:autoSpaceDE w:val="0"/>
              <w:autoSpaceDN w:val="0"/>
              <w:adjustRightInd w:val="0"/>
              <w:spacing w:line="285" w:lineRule="exact"/>
              <w:rPr>
                <w:rFonts w:cs="Arial"/>
              </w:rPr>
            </w:pPr>
            <w:r w:rsidRPr="00A67B9E">
              <w:rPr>
                <w:rFonts w:cs="Arial"/>
              </w:rPr>
              <w:t xml:space="preserve">Bracknell Forest </w:t>
            </w:r>
          </w:p>
        </w:tc>
        <w:tc>
          <w:tcPr>
            <w:tcW w:w="2492" w:type="pct"/>
          </w:tcPr>
          <w:p w:rsidR="00AB094C" w:rsidRPr="00A67B9E" w:rsidRDefault="00AB094C" w:rsidP="00A67B9E">
            <w:pPr>
              <w:pStyle w:val="NoSpacing"/>
              <w:rPr>
                <w:rFonts w:cs="Arial"/>
              </w:rPr>
            </w:pPr>
            <w:r w:rsidRPr="00A67B9E">
              <w:rPr>
                <w:rFonts w:cs="Arial"/>
              </w:rPr>
              <w:t>Portsmouth</w:t>
            </w:r>
          </w:p>
        </w:tc>
      </w:tr>
      <w:tr w:rsidR="00AB094C" w:rsidRPr="00A67B9E" w:rsidTr="006B7406">
        <w:tc>
          <w:tcPr>
            <w:tcW w:w="2508" w:type="pct"/>
          </w:tcPr>
          <w:p w:rsidR="00AB094C" w:rsidRPr="00A67B9E" w:rsidRDefault="00AB094C" w:rsidP="00A67B9E">
            <w:pPr>
              <w:widowControl w:val="0"/>
              <w:autoSpaceDE w:val="0"/>
              <w:autoSpaceDN w:val="0"/>
              <w:adjustRightInd w:val="0"/>
              <w:spacing w:line="288" w:lineRule="exact"/>
              <w:rPr>
                <w:rFonts w:cs="Arial"/>
              </w:rPr>
            </w:pPr>
            <w:r w:rsidRPr="00A67B9E">
              <w:rPr>
                <w:rFonts w:cs="Arial"/>
              </w:rPr>
              <w:t>Brighton and Hove</w:t>
            </w:r>
          </w:p>
        </w:tc>
        <w:tc>
          <w:tcPr>
            <w:tcW w:w="2492" w:type="pct"/>
          </w:tcPr>
          <w:p w:rsidR="00AB094C" w:rsidRPr="00A67B9E" w:rsidRDefault="00AB094C" w:rsidP="00A67B9E">
            <w:pPr>
              <w:pStyle w:val="NoSpacing"/>
              <w:rPr>
                <w:rFonts w:cs="Arial"/>
              </w:rPr>
            </w:pPr>
            <w:r w:rsidRPr="00A67B9E">
              <w:rPr>
                <w:rFonts w:cs="Arial"/>
              </w:rPr>
              <w:t>Reading</w:t>
            </w:r>
          </w:p>
        </w:tc>
      </w:tr>
      <w:tr w:rsidR="00AB094C" w:rsidRPr="00A67B9E" w:rsidTr="006B7406">
        <w:tc>
          <w:tcPr>
            <w:tcW w:w="2508" w:type="pct"/>
          </w:tcPr>
          <w:p w:rsidR="00AB094C" w:rsidRPr="00A67B9E" w:rsidRDefault="00AB094C" w:rsidP="00A67B9E">
            <w:pPr>
              <w:widowControl w:val="0"/>
              <w:autoSpaceDE w:val="0"/>
              <w:autoSpaceDN w:val="0"/>
              <w:adjustRightInd w:val="0"/>
              <w:spacing w:line="265" w:lineRule="exact"/>
              <w:rPr>
                <w:rFonts w:cs="Arial"/>
              </w:rPr>
            </w:pPr>
            <w:r w:rsidRPr="00A67B9E">
              <w:rPr>
                <w:rFonts w:cs="Arial"/>
              </w:rPr>
              <w:t>Buckinghamshire</w:t>
            </w:r>
          </w:p>
        </w:tc>
        <w:tc>
          <w:tcPr>
            <w:tcW w:w="2492" w:type="pct"/>
          </w:tcPr>
          <w:p w:rsidR="00AB094C" w:rsidRPr="00A67B9E" w:rsidRDefault="00AB094C" w:rsidP="00A67B9E">
            <w:pPr>
              <w:pStyle w:val="NoSpacing"/>
              <w:rPr>
                <w:rFonts w:cs="Arial"/>
              </w:rPr>
            </w:pPr>
            <w:r w:rsidRPr="00A67B9E">
              <w:rPr>
                <w:rFonts w:cs="Arial"/>
              </w:rPr>
              <w:t>Slough</w:t>
            </w:r>
          </w:p>
        </w:tc>
      </w:tr>
      <w:tr w:rsidR="00AB094C" w:rsidRPr="00A67B9E" w:rsidTr="006B7406">
        <w:tc>
          <w:tcPr>
            <w:tcW w:w="2508" w:type="pct"/>
          </w:tcPr>
          <w:p w:rsidR="00AB094C" w:rsidRPr="00A67B9E" w:rsidRDefault="00AB094C" w:rsidP="00A67B9E">
            <w:pPr>
              <w:widowControl w:val="0"/>
              <w:autoSpaceDE w:val="0"/>
              <w:autoSpaceDN w:val="0"/>
              <w:adjustRightInd w:val="0"/>
              <w:spacing w:line="288" w:lineRule="exact"/>
              <w:rPr>
                <w:rFonts w:cs="Arial"/>
              </w:rPr>
            </w:pPr>
            <w:r w:rsidRPr="00A67B9E">
              <w:rPr>
                <w:rFonts w:cs="Arial"/>
              </w:rPr>
              <w:t>East Sussex</w:t>
            </w:r>
          </w:p>
        </w:tc>
        <w:tc>
          <w:tcPr>
            <w:tcW w:w="2492" w:type="pct"/>
          </w:tcPr>
          <w:p w:rsidR="00AB094C" w:rsidRPr="00A67B9E" w:rsidRDefault="00AB094C" w:rsidP="00A67B9E">
            <w:pPr>
              <w:pStyle w:val="NoSpacing"/>
              <w:rPr>
                <w:rFonts w:cs="Arial"/>
              </w:rPr>
            </w:pPr>
            <w:r w:rsidRPr="00A67B9E">
              <w:rPr>
                <w:rFonts w:cs="Arial"/>
              </w:rPr>
              <w:t>Southampton</w:t>
            </w:r>
          </w:p>
        </w:tc>
      </w:tr>
      <w:tr w:rsidR="00AB094C" w:rsidRPr="00A67B9E" w:rsidTr="006B7406">
        <w:tc>
          <w:tcPr>
            <w:tcW w:w="2508" w:type="pct"/>
          </w:tcPr>
          <w:p w:rsidR="00AB094C" w:rsidRPr="00A67B9E" w:rsidRDefault="00AB094C" w:rsidP="00A67B9E">
            <w:pPr>
              <w:widowControl w:val="0"/>
              <w:autoSpaceDE w:val="0"/>
              <w:autoSpaceDN w:val="0"/>
              <w:adjustRightInd w:val="0"/>
              <w:spacing w:line="265" w:lineRule="exact"/>
              <w:rPr>
                <w:rFonts w:cs="Arial"/>
              </w:rPr>
            </w:pPr>
            <w:r w:rsidRPr="00A67B9E">
              <w:rPr>
                <w:rFonts w:cs="Arial"/>
              </w:rPr>
              <w:t>Hampshire</w:t>
            </w:r>
          </w:p>
        </w:tc>
        <w:tc>
          <w:tcPr>
            <w:tcW w:w="2492" w:type="pct"/>
          </w:tcPr>
          <w:p w:rsidR="00AB094C" w:rsidRPr="00A67B9E" w:rsidRDefault="00AB094C" w:rsidP="00A67B9E">
            <w:pPr>
              <w:pStyle w:val="NoSpacing"/>
              <w:rPr>
                <w:rFonts w:cs="Arial"/>
              </w:rPr>
            </w:pPr>
            <w:r w:rsidRPr="00A67B9E">
              <w:rPr>
                <w:rFonts w:cs="Arial"/>
              </w:rPr>
              <w:t>Surrey</w:t>
            </w:r>
          </w:p>
        </w:tc>
      </w:tr>
      <w:tr w:rsidR="00AB094C" w:rsidRPr="00A67B9E" w:rsidTr="006B7406">
        <w:tc>
          <w:tcPr>
            <w:tcW w:w="2508" w:type="pct"/>
          </w:tcPr>
          <w:p w:rsidR="00AB094C" w:rsidRPr="00A67B9E" w:rsidRDefault="00AB094C" w:rsidP="00A67B9E">
            <w:pPr>
              <w:widowControl w:val="0"/>
              <w:autoSpaceDE w:val="0"/>
              <w:autoSpaceDN w:val="0"/>
              <w:adjustRightInd w:val="0"/>
              <w:spacing w:line="288" w:lineRule="exact"/>
              <w:rPr>
                <w:rFonts w:cs="Arial"/>
              </w:rPr>
            </w:pPr>
            <w:r w:rsidRPr="00A67B9E">
              <w:rPr>
                <w:rFonts w:cs="Arial"/>
              </w:rPr>
              <w:t>Isle of Wight</w:t>
            </w:r>
          </w:p>
        </w:tc>
        <w:tc>
          <w:tcPr>
            <w:tcW w:w="2492" w:type="pct"/>
          </w:tcPr>
          <w:p w:rsidR="00AB094C" w:rsidRPr="00A67B9E" w:rsidRDefault="00AB094C" w:rsidP="00A67B9E">
            <w:pPr>
              <w:pStyle w:val="NoSpacing"/>
              <w:rPr>
                <w:rFonts w:cs="Arial"/>
              </w:rPr>
            </w:pPr>
            <w:r w:rsidRPr="00A67B9E">
              <w:rPr>
                <w:rFonts w:cs="Arial"/>
              </w:rPr>
              <w:t>West Berkshire</w:t>
            </w:r>
          </w:p>
        </w:tc>
      </w:tr>
      <w:tr w:rsidR="00AB094C" w:rsidRPr="00A67B9E" w:rsidTr="006B7406">
        <w:tc>
          <w:tcPr>
            <w:tcW w:w="2508" w:type="pct"/>
          </w:tcPr>
          <w:p w:rsidR="00AB094C" w:rsidRPr="00A67B9E" w:rsidRDefault="00AB094C" w:rsidP="00A67B9E">
            <w:pPr>
              <w:widowControl w:val="0"/>
              <w:autoSpaceDE w:val="0"/>
              <w:autoSpaceDN w:val="0"/>
              <w:adjustRightInd w:val="0"/>
              <w:spacing w:line="265" w:lineRule="exact"/>
              <w:rPr>
                <w:rFonts w:cs="Arial"/>
              </w:rPr>
            </w:pPr>
            <w:r w:rsidRPr="00A67B9E">
              <w:rPr>
                <w:rFonts w:cs="Arial"/>
              </w:rPr>
              <w:t>Kent</w:t>
            </w:r>
          </w:p>
        </w:tc>
        <w:tc>
          <w:tcPr>
            <w:tcW w:w="2492" w:type="pct"/>
          </w:tcPr>
          <w:p w:rsidR="00AB094C" w:rsidRPr="00A67B9E" w:rsidRDefault="00AB094C" w:rsidP="00A67B9E">
            <w:pPr>
              <w:pStyle w:val="NoSpacing"/>
              <w:rPr>
                <w:rFonts w:cs="Arial"/>
              </w:rPr>
            </w:pPr>
            <w:r w:rsidRPr="00A67B9E">
              <w:rPr>
                <w:rFonts w:cs="Arial"/>
              </w:rPr>
              <w:t>Royal Borough of Windsor and Maidenhead</w:t>
            </w:r>
          </w:p>
        </w:tc>
      </w:tr>
      <w:tr w:rsidR="00AB094C" w:rsidRPr="00A67B9E" w:rsidTr="006B7406">
        <w:tc>
          <w:tcPr>
            <w:tcW w:w="2508" w:type="pct"/>
          </w:tcPr>
          <w:p w:rsidR="00AB094C" w:rsidRPr="00A67B9E" w:rsidRDefault="00AB094C" w:rsidP="00A67B9E">
            <w:pPr>
              <w:widowControl w:val="0"/>
              <w:autoSpaceDE w:val="0"/>
              <w:autoSpaceDN w:val="0"/>
              <w:adjustRightInd w:val="0"/>
              <w:spacing w:line="288" w:lineRule="exact"/>
              <w:rPr>
                <w:rFonts w:cs="Arial"/>
              </w:rPr>
            </w:pPr>
            <w:r w:rsidRPr="00A67B9E">
              <w:rPr>
                <w:rFonts w:cs="Arial"/>
              </w:rPr>
              <w:t>Medway</w:t>
            </w:r>
          </w:p>
        </w:tc>
        <w:tc>
          <w:tcPr>
            <w:tcW w:w="2492" w:type="pct"/>
          </w:tcPr>
          <w:p w:rsidR="00AB094C" w:rsidRPr="00A67B9E" w:rsidRDefault="0024573C" w:rsidP="00A67B9E">
            <w:pPr>
              <w:pStyle w:val="NoSpacing"/>
              <w:rPr>
                <w:rFonts w:cs="Arial"/>
              </w:rPr>
            </w:pPr>
            <w:r w:rsidRPr="00A67B9E">
              <w:rPr>
                <w:rFonts w:cs="Arial"/>
              </w:rPr>
              <w:t>West Sussex</w:t>
            </w:r>
          </w:p>
        </w:tc>
      </w:tr>
      <w:tr w:rsidR="00AB094C" w:rsidRPr="00A67B9E" w:rsidTr="006B7406">
        <w:tc>
          <w:tcPr>
            <w:tcW w:w="2508" w:type="pct"/>
          </w:tcPr>
          <w:p w:rsidR="00AB094C" w:rsidRPr="00A67B9E" w:rsidRDefault="00AB094C" w:rsidP="00A67B9E">
            <w:pPr>
              <w:widowControl w:val="0"/>
              <w:autoSpaceDE w:val="0"/>
              <w:autoSpaceDN w:val="0"/>
              <w:adjustRightInd w:val="0"/>
              <w:spacing w:line="265" w:lineRule="exact"/>
              <w:rPr>
                <w:rFonts w:cs="Arial"/>
              </w:rPr>
            </w:pPr>
            <w:r w:rsidRPr="00A67B9E">
              <w:rPr>
                <w:rFonts w:cs="Arial"/>
              </w:rPr>
              <w:t>Oxfordshire</w:t>
            </w:r>
          </w:p>
        </w:tc>
        <w:tc>
          <w:tcPr>
            <w:tcW w:w="2492" w:type="pct"/>
          </w:tcPr>
          <w:p w:rsidR="00AB094C" w:rsidRPr="00A67B9E" w:rsidRDefault="00AB094C" w:rsidP="00A67B9E">
            <w:pPr>
              <w:pStyle w:val="NoSpacing"/>
              <w:rPr>
                <w:rFonts w:cs="Arial"/>
              </w:rPr>
            </w:pPr>
            <w:r w:rsidRPr="00A67B9E">
              <w:rPr>
                <w:rFonts w:cs="Arial"/>
              </w:rPr>
              <w:t>Wokingham</w:t>
            </w:r>
          </w:p>
        </w:tc>
      </w:tr>
    </w:tbl>
    <w:p w:rsidR="008F51FC" w:rsidRPr="00A67B9E" w:rsidRDefault="008F51FC" w:rsidP="00A67B9E">
      <w:pPr>
        <w:pStyle w:val="NoSpacing"/>
        <w:rPr>
          <w:rFonts w:cs="Arial"/>
        </w:rPr>
      </w:pPr>
    </w:p>
    <w:p w:rsidR="005A2014" w:rsidRDefault="005A2014" w:rsidP="00A67B9E">
      <w:pPr>
        <w:rPr>
          <w:rFonts w:cs="Arial"/>
        </w:rPr>
      </w:pPr>
    </w:p>
    <w:p w:rsidR="005A2014" w:rsidRPr="006C368A" w:rsidRDefault="005A2014" w:rsidP="005A2014">
      <w:pPr>
        <w:pStyle w:val="Default"/>
      </w:pPr>
      <w:r w:rsidRPr="006C368A">
        <w:t xml:space="preserve">This policy was endorsed by the South East Association of Directors of Public Health on </w:t>
      </w:r>
      <w:r w:rsidR="006C368A" w:rsidRPr="006C368A">
        <w:t>12th April 2019</w:t>
      </w:r>
      <w:r w:rsidR="006C368A">
        <w:t>.</w:t>
      </w:r>
    </w:p>
    <w:p w:rsidR="008F51FC" w:rsidRPr="00A67B9E" w:rsidRDefault="008F51FC" w:rsidP="00A67B9E">
      <w:pPr>
        <w:rPr>
          <w:rFonts w:cs="Arial"/>
        </w:rPr>
      </w:pPr>
      <w:r w:rsidRPr="00A67B9E">
        <w:rPr>
          <w:rFonts w:cs="Arial"/>
        </w:rPr>
        <w:br w:type="page"/>
      </w:r>
    </w:p>
    <w:p w:rsidR="0029668B" w:rsidRPr="00A67B9E" w:rsidRDefault="0029668B" w:rsidP="00A67B9E">
      <w:pPr>
        <w:pStyle w:val="NoSpacing"/>
        <w:rPr>
          <w:rFonts w:cs="Arial"/>
        </w:rPr>
      </w:pPr>
    </w:p>
    <w:p w:rsidR="0029668B" w:rsidRPr="00A67B9E" w:rsidRDefault="0029668B" w:rsidP="00A67B9E">
      <w:pPr>
        <w:pStyle w:val="NoSpacing"/>
        <w:rPr>
          <w:rFonts w:cs="Arial"/>
        </w:rPr>
      </w:pPr>
    </w:p>
    <w:p w:rsidR="0029668B" w:rsidRPr="00A67B9E" w:rsidRDefault="0029668B" w:rsidP="00A67B9E">
      <w:pPr>
        <w:pStyle w:val="NoSpacing"/>
        <w:rPr>
          <w:rFonts w:cs="Arial"/>
        </w:rPr>
      </w:pPr>
    </w:p>
    <w:p w:rsidR="0029668B" w:rsidRPr="00A67B9E" w:rsidRDefault="002161D0" w:rsidP="00A67B9E">
      <w:pPr>
        <w:pStyle w:val="NoSpacing"/>
        <w:numPr>
          <w:ilvl w:val="0"/>
          <w:numId w:val="1"/>
        </w:numPr>
        <w:rPr>
          <w:rFonts w:cs="Arial"/>
          <w:b/>
        </w:rPr>
      </w:pPr>
      <w:r w:rsidRPr="00A67B9E">
        <w:rPr>
          <w:rFonts w:cs="Arial"/>
          <w:b/>
        </w:rPr>
        <w:t>Policy Principles</w:t>
      </w:r>
      <w:r w:rsidR="008F51FC" w:rsidRPr="00A67B9E">
        <w:rPr>
          <w:rFonts w:cs="Arial"/>
          <w:b/>
        </w:rPr>
        <w:t xml:space="preserve"> and changes since previous versions</w:t>
      </w:r>
    </w:p>
    <w:p w:rsidR="002161D0" w:rsidRPr="00A67B9E" w:rsidRDefault="002161D0" w:rsidP="00A67B9E">
      <w:pPr>
        <w:pStyle w:val="NoSpacing"/>
        <w:ind w:left="360"/>
        <w:rPr>
          <w:rFonts w:cs="Arial"/>
        </w:rPr>
      </w:pPr>
    </w:p>
    <w:p w:rsidR="008F51FC" w:rsidRPr="00A359C8" w:rsidRDefault="008F51FC" w:rsidP="00A67B9E">
      <w:pPr>
        <w:pStyle w:val="NoSpacing"/>
        <w:rPr>
          <w:rFonts w:cs="Arial"/>
        </w:rPr>
      </w:pPr>
      <w:r w:rsidRPr="00A359C8">
        <w:rPr>
          <w:rFonts w:cs="Arial"/>
        </w:rPr>
        <w:t>Current practice in the South East is based on the Department of Health and Social Care (DHSC</w:t>
      </w:r>
      <w:r w:rsidR="004B30B3" w:rsidRPr="00A359C8">
        <w:rPr>
          <w:rFonts w:cs="Arial"/>
        </w:rPr>
        <w:t>) ‘</w:t>
      </w:r>
      <w:r w:rsidRPr="00A359C8">
        <w:rPr>
          <w:rFonts w:cs="Arial"/>
        </w:rPr>
        <w:t>Sexual Health Services: Key Principles for Cross Charging’ (2018, updated in collaboration with the Local Government Association)</w:t>
      </w:r>
      <w:r w:rsidRPr="00A359C8">
        <w:rPr>
          <w:rStyle w:val="FootnoteReference"/>
          <w:rFonts w:cs="Arial"/>
        </w:rPr>
        <w:footnoteReference w:id="2"/>
      </w:r>
      <w:r w:rsidRPr="00A359C8">
        <w:rPr>
          <w:rFonts w:cs="Arial"/>
        </w:rPr>
        <w:t xml:space="preserve"> which sets out key principles to assist service commissioners and providers to develop fair payment systems. </w:t>
      </w:r>
    </w:p>
    <w:p w:rsidR="008F51FC" w:rsidRPr="00A359C8" w:rsidRDefault="008F51FC" w:rsidP="00A67B9E">
      <w:pPr>
        <w:pStyle w:val="NoSpacing"/>
        <w:rPr>
          <w:rFonts w:cs="Arial"/>
          <w:color w:val="0B0C0C"/>
          <w:lang w:val="en"/>
        </w:rPr>
      </w:pPr>
      <w:r w:rsidRPr="00A359C8">
        <w:rPr>
          <w:rFonts w:cs="Arial"/>
        </w:rPr>
        <w:t xml:space="preserve">In 2018 PHE </w:t>
      </w:r>
      <w:r w:rsidRPr="00A359C8">
        <w:rPr>
          <w:rFonts w:cs="Arial"/>
          <w:color w:val="0B0C0C"/>
          <w:lang w:val="en"/>
        </w:rPr>
        <w:t xml:space="preserve">published a new </w:t>
      </w:r>
      <w:hyperlink r:id="rId8" w:history="1">
        <w:r w:rsidRPr="00A359C8">
          <w:rPr>
            <w:rFonts w:cs="Arial"/>
            <w:color w:val="2E3191"/>
            <w:u w:val="single"/>
            <w:lang w:val="en"/>
          </w:rPr>
          <w:t>sexual health commissioning guidance page</w:t>
        </w:r>
      </w:hyperlink>
      <w:r w:rsidRPr="00A359C8">
        <w:rPr>
          <w:rFonts w:cs="Arial"/>
          <w:color w:val="0B0C0C"/>
          <w:lang w:val="en"/>
        </w:rPr>
        <w:t xml:space="preserve"> bringing together in one place a wide range of existing resources.</w:t>
      </w:r>
    </w:p>
    <w:p w:rsidR="008F51FC" w:rsidRPr="00A359C8" w:rsidRDefault="008F51FC" w:rsidP="00A67B9E">
      <w:pPr>
        <w:pStyle w:val="NoSpacing"/>
        <w:rPr>
          <w:rFonts w:cs="Arial"/>
        </w:rPr>
      </w:pPr>
    </w:p>
    <w:p w:rsidR="002161D0" w:rsidRPr="00A359C8" w:rsidRDefault="00CD7E00" w:rsidP="00A67B9E">
      <w:pPr>
        <w:pStyle w:val="Default"/>
        <w:rPr>
          <w:sz w:val="22"/>
          <w:szCs w:val="22"/>
        </w:rPr>
      </w:pPr>
      <w:r w:rsidRPr="00A359C8">
        <w:rPr>
          <w:sz w:val="22"/>
          <w:szCs w:val="22"/>
        </w:rPr>
        <w:t>In 2017</w:t>
      </w:r>
      <w:r w:rsidR="001315E3" w:rsidRPr="00A359C8">
        <w:rPr>
          <w:sz w:val="22"/>
          <w:szCs w:val="22"/>
        </w:rPr>
        <w:t>, the</w:t>
      </w:r>
      <w:r w:rsidR="002161D0" w:rsidRPr="00A359C8">
        <w:rPr>
          <w:sz w:val="22"/>
          <w:szCs w:val="22"/>
        </w:rPr>
        <w:t xml:space="preserve"> South East </w:t>
      </w:r>
      <w:r w:rsidR="002B7056" w:rsidRPr="00A359C8">
        <w:rPr>
          <w:sz w:val="22"/>
          <w:szCs w:val="22"/>
        </w:rPr>
        <w:t xml:space="preserve">Association of </w:t>
      </w:r>
      <w:r w:rsidR="002161D0" w:rsidRPr="00A359C8">
        <w:rPr>
          <w:sz w:val="22"/>
          <w:szCs w:val="22"/>
        </w:rPr>
        <w:t>Director</w:t>
      </w:r>
      <w:r w:rsidRPr="00A359C8">
        <w:rPr>
          <w:sz w:val="22"/>
          <w:szCs w:val="22"/>
        </w:rPr>
        <w:t>s</w:t>
      </w:r>
      <w:r w:rsidR="002161D0" w:rsidRPr="00A359C8">
        <w:rPr>
          <w:sz w:val="22"/>
          <w:szCs w:val="22"/>
        </w:rPr>
        <w:t xml:space="preserve"> of Public Health Network requested the Public Health England South East Regional Sexual Network set up a task and finish group to agree an approach on sexual health cross charging.</w:t>
      </w:r>
      <w:r w:rsidR="00BF2405" w:rsidRPr="00A359C8">
        <w:rPr>
          <w:sz w:val="22"/>
          <w:szCs w:val="22"/>
        </w:rPr>
        <w:t xml:space="preserve"> </w:t>
      </w:r>
      <w:r w:rsidR="00783B71" w:rsidRPr="00A359C8">
        <w:rPr>
          <w:sz w:val="22"/>
          <w:szCs w:val="22"/>
        </w:rPr>
        <w:t>This group continues to meet and monitor and review the South East Policy and reports to the DPH sponsor</w:t>
      </w:r>
      <w:r w:rsidR="002161D0" w:rsidRPr="00A359C8">
        <w:rPr>
          <w:sz w:val="22"/>
          <w:szCs w:val="22"/>
        </w:rPr>
        <w:t xml:space="preserve">. There are a number of benefits to aligning a position but primarily this will help to provide clarity, equality of approach across the Region, and make better, more efficient use of limited resources. </w:t>
      </w:r>
    </w:p>
    <w:p w:rsidR="00FB0B48" w:rsidRPr="00A359C8" w:rsidRDefault="00FB0B48" w:rsidP="00A67B9E">
      <w:pPr>
        <w:pStyle w:val="Default"/>
        <w:rPr>
          <w:sz w:val="22"/>
          <w:szCs w:val="22"/>
        </w:rPr>
      </w:pPr>
    </w:p>
    <w:p w:rsidR="00FB0B48" w:rsidRPr="00A359C8" w:rsidRDefault="00FB0B48" w:rsidP="00A67B9E">
      <w:pPr>
        <w:pStyle w:val="Default"/>
        <w:rPr>
          <w:sz w:val="22"/>
          <w:szCs w:val="22"/>
        </w:rPr>
      </w:pPr>
      <w:r w:rsidRPr="00A359C8">
        <w:rPr>
          <w:sz w:val="22"/>
          <w:szCs w:val="22"/>
        </w:rPr>
        <w:t>The policy was reviewed in 2019 following publication of the updated Sexual Health Services: Key Principles for Cross Charging’ guidance</w:t>
      </w:r>
      <w:r w:rsidR="0050462E" w:rsidRPr="00A359C8">
        <w:rPr>
          <w:sz w:val="22"/>
          <w:szCs w:val="22"/>
        </w:rPr>
        <w:t xml:space="preserve"> in 2018</w:t>
      </w:r>
      <w:r w:rsidRPr="00A359C8">
        <w:rPr>
          <w:sz w:val="22"/>
          <w:szCs w:val="22"/>
        </w:rPr>
        <w:t xml:space="preserve">. Original principles of the South East Cross Charging Policy remain </w:t>
      </w:r>
      <w:r w:rsidR="001315E3" w:rsidRPr="00A359C8">
        <w:rPr>
          <w:sz w:val="22"/>
          <w:szCs w:val="22"/>
        </w:rPr>
        <w:t>unchanged;</w:t>
      </w:r>
      <w:r w:rsidRPr="00A359C8">
        <w:rPr>
          <w:sz w:val="22"/>
          <w:szCs w:val="22"/>
        </w:rPr>
        <w:t xml:space="preserve"> </w:t>
      </w:r>
      <w:r w:rsidR="00A359C8" w:rsidRPr="00A359C8">
        <w:rPr>
          <w:sz w:val="22"/>
          <w:szCs w:val="22"/>
        </w:rPr>
        <w:t>however,</w:t>
      </w:r>
      <w:r w:rsidRPr="00A359C8">
        <w:rPr>
          <w:sz w:val="22"/>
          <w:szCs w:val="22"/>
        </w:rPr>
        <w:t xml:space="preserve"> amendments have been made to reflect</w:t>
      </w:r>
      <w:r w:rsidR="00A359C8" w:rsidRPr="00A359C8">
        <w:rPr>
          <w:sz w:val="22"/>
          <w:szCs w:val="22"/>
        </w:rPr>
        <w:t xml:space="preserve"> both</w:t>
      </w:r>
      <w:r w:rsidRPr="00A359C8">
        <w:rPr>
          <w:sz w:val="22"/>
          <w:szCs w:val="22"/>
        </w:rPr>
        <w:t xml:space="preserve"> the</w:t>
      </w:r>
      <w:r w:rsidR="00A359C8" w:rsidRPr="00A359C8">
        <w:rPr>
          <w:sz w:val="22"/>
          <w:szCs w:val="22"/>
        </w:rPr>
        <w:t xml:space="preserve"> development of digital delivery of sexual health services and</w:t>
      </w:r>
      <w:r w:rsidRPr="00A359C8">
        <w:rPr>
          <w:sz w:val="22"/>
          <w:szCs w:val="22"/>
        </w:rPr>
        <w:t xml:space="preserve"> increased complexity of cross-charging backing data from providers using integrated tariff bundle</w:t>
      </w:r>
      <w:r w:rsidR="00A359C8" w:rsidRPr="00A359C8">
        <w:rPr>
          <w:sz w:val="22"/>
          <w:szCs w:val="22"/>
        </w:rPr>
        <w:t xml:space="preserve"> and to ensure reference to current guidance and reflect organisational changes.</w:t>
      </w:r>
    </w:p>
    <w:p w:rsidR="008F51FC" w:rsidRPr="00A67B9E" w:rsidRDefault="008F51FC" w:rsidP="00A67B9E">
      <w:pPr>
        <w:pStyle w:val="Default"/>
        <w:rPr>
          <w:sz w:val="22"/>
          <w:szCs w:val="22"/>
        </w:rPr>
      </w:pPr>
    </w:p>
    <w:p w:rsidR="008F51FC" w:rsidRDefault="008F51FC" w:rsidP="00A67B9E">
      <w:pPr>
        <w:pStyle w:val="Default"/>
        <w:rPr>
          <w:sz w:val="22"/>
          <w:szCs w:val="22"/>
        </w:rPr>
      </w:pPr>
      <w:r w:rsidRPr="00A67B9E">
        <w:rPr>
          <w:sz w:val="22"/>
          <w:szCs w:val="22"/>
        </w:rPr>
        <w:t>Key changes to the policy in response to this review are shown</w:t>
      </w:r>
      <w:r w:rsidR="009934A2">
        <w:rPr>
          <w:sz w:val="22"/>
          <w:szCs w:val="22"/>
        </w:rPr>
        <w:t xml:space="preserve"> in Table 2</w:t>
      </w:r>
      <w:r w:rsidRPr="00A67B9E">
        <w:rPr>
          <w:sz w:val="22"/>
          <w:szCs w:val="22"/>
        </w:rPr>
        <w:t xml:space="preserve"> below</w:t>
      </w:r>
    </w:p>
    <w:p w:rsidR="009934A2" w:rsidRDefault="009934A2" w:rsidP="00A67B9E">
      <w:pPr>
        <w:pStyle w:val="Default"/>
        <w:rPr>
          <w:sz w:val="22"/>
          <w:szCs w:val="22"/>
        </w:rPr>
      </w:pPr>
    </w:p>
    <w:p w:rsidR="009934A2" w:rsidRPr="00A67B9E" w:rsidRDefault="009934A2" w:rsidP="00A67B9E">
      <w:pPr>
        <w:pStyle w:val="Default"/>
        <w:rPr>
          <w:sz w:val="22"/>
          <w:szCs w:val="22"/>
        </w:rPr>
      </w:pPr>
      <w:r w:rsidRPr="009934A2">
        <w:rPr>
          <w:b/>
          <w:sz w:val="22"/>
          <w:szCs w:val="22"/>
        </w:rPr>
        <w:t xml:space="preserve">Table 2: Key changes in </w:t>
      </w:r>
      <w:r>
        <w:rPr>
          <w:b/>
          <w:sz w:val="22"/>
          <w:szCs w:val="22"/>
        </w:rPr>
        <w:t>2019 South East Cross Charging policy</w:t>
      </w:r>
      <w:r w:rsidRPr="009934A2">
        <w:rPr>
          <w:b/>
          <w:sz w:val="22"/>
          <w:szCs w:val="22"/>
        </w:rPr>
        <w:t xml:space="preserve"> compared to 2017</w:t>
      </w:r>
    </w:p>
    <w:p w:rsidR="008F51FC" w:rsidRPr="00A67B9E" w:rsidRDefault="008F51FC" w:rsidP="00A67B9E">
      <w:pPr>
        <w:pStyle w:val="Default"/>
        <w:rPr>
          <w:sz w:val="22"/>
          <w:szCs w:val="22"/>
        </w:rPr>
      </w:pPr>
    </w:p>
    <w:tbl>
      <w:tblPr>
        <w:tblStyle w:val="TableGrid"/>
        <w:tblW w:w="8594" w:type="dxa"/>
        <w:tblLook w:val="04A0" w:firstRow="1" w:lastRow="0" w:firstColumn="1" w:lastColumn="0" w:noHBand="0" w:noVBand="1"/>
      </w:tblPr>
      <w:tblGrid>
        <w:gridCol w:w="339"/>
        <w:gridCol w:w="6746"/>
        <w:gridCol w:w="1509"/>
      </w:tblGrid>
      <w:tr w:rsidR="00A359C8" w:rsidRPr="00A67B9E" w:rsidTr="006C368A">
        <w:trPr>
          <w:trHeight w:val="233"/>
        </w:trPr>
        <w:tc>
          <w:tcPr>
            <w:tcW w:w="277" w:type="dxa"/>
          </w:tcPr>
          <w:p w:rsidR="00A359C8" w:rsidRDefault="00A359C8" w:rsidP="00A67B9E">
            <w:pPr>
              <w:pStyle w:val="Default"/>
              <w:rPr>
                <w:sz w:val="22"/>
                <w:szCs w:val="22"/>
              </w:rPr>
            </w:pPr>
          </w:p>
        </w:tc>
        <w:tc>
          <w:tcPr>
            <w:tcW w:w="6805" w:type="dxa"/>
          </w:tcPr>
          <w:p w:rsidR="00A359C8" w:rsidRPr="009934A2" w:rsidRDefault="009934A2" w:rsidP="00A67B9E">
            <w:pPr>
              <w:pStyle w:val="Default"/>
              <w:rPr>
                <w:b/>
                <w:sz w:val="22"/>
                <w:szCs w:val="22"/>
              </w:rPr>
            </w:pPr>
            <w:r w:rsidRPr="009934A2">
              <w:rPr>
                <w:b/>
                <w:sz w:val="22"/>
                <w:szCs w:val="22"/>
              </w:rPr>
              <w:t xml:space="preserve">Summary of Changes </w:t>
            </w:r>
          </w:p>
        </w:tc>
        <w:tc>
          <w:tcPr>
            <w:tcW w:w="1512" w:type="dxa"/>
          </w:tcPr>
          <w:p w:rsidR="00A359C8" w:rsidRPr="009934A2" w:rsidRDefault="009934A2" w:rsidP="00A67B9E">
            <w:pPr>
              <w:pStyle w:val="Default"/>
              <w:rPr>
                <w:b/>
                <w:sz w:val="22"/>
                <w:szCs w:val="22"/>
              </w:rPr>
            </w:pPr>
            <w:r w:rsidRPr="009934A2">
              <w:rPr>
                <w:b/>
                <w:sz w:val="22"/>
                <w:szCs w:val="22"/>
              </w:rPr>
              <w:t>Section</w:t>
            </w:r>
          </w:p>
        </w:tc>
      </w:tr>
      <w:tr w:rsidR="00A359C8" w:rsidRPr="00A67B9E" w:rsidTr="006C368A">
        <w:trPr>
          <w:trHeight w:val="233"/>
        </w:trPr>
        <w:tc>
          <w:tcPr>
            <w:tcW w:w="277" w:type="dxa"/>
          </w:tcPr>
          <w:p w:rsidR="00A359C8" w:rsidRPr="009934A2" w:rsidRDefault="00A359C8" w:rsidP="00A67B9E">
            <w:pPr>
              <w:pStyle w:val="Default"/>
              <w:rPr>
                <w:b/>
                <w:sz w:val="22"/>
                <w:szCs w:val="22"/>
              </w:rPr>
            </w:pPr>
            <w:r w:rsidRPr="009934A2">
              <w:rPr>
                <w:b/>
                <w:sz w:val="22"/>
                <w:szCs w:val="22"/>
              </w:rPr>
              <w:t>1</w:t>
            </w:r>
          </w:p>
        </w:tc>
        <w:tc>
          <w:tcPr>
            <w:tcW w:w="6805" w:type="dxa"/>
          </w:tcPr>
          <w:p w:rsidR="00A359C8" w:rsidRPr="009934A2" w:rsidRDefault="00A359C8" w:rsidP="00A67B9E">
            <w:pPr>
              <w:pStyle w:val="Default"/>
              <w:rPr>
                <w:sz w:val="22"/>
                <w:szCs w:val="22"/>
              </w:rPr>
            </w:pPr>
            <w:r w:rsidRPr="009934A2">
              <w:rPr>
                <w:sz w:val="22"/>
                <w:szCs w:val="22"/>
              </w:rPr>
              <w:t xml:space="preserve">Department of Health changed to Department of Health and Social Care </w:t>
            </w:r>
          </w:p>
        </w:tc>
        <w:tc>
          <w:tcPr>
            <w:tcW w:w="1512" w:type="dxa"/>
          </w:tcPr>
          <w:p w:rsidR="00A359C8" w:rsidRDefault="00A359C8" w:rsidP="00A67B9E">
            <w:pPr>
              <w:pStyle w:val="Default"/>
              <w:rPr>
                <w:sz w:val="22"/>
                <w:szCs w:val="22"/>
              </w:rPr>
            </w:pPr>
            <w:r>
              <w:rPr>
                <w:sz w:val="22"/>
                <w:szCs w:val="22"/>
              </w:rPr>
              <w:t>throughout</w:t>
            </w:r>
          </w:p>
        </w:tc>
      </w:tr>
      <w:tr w:rsidR="00A359C8" w:rsidRPr="00A67B9E" w:rsidTr="006C368A">
        <w:trPr>
          <w:trHeight w:val="233"/>
        </w:trPr>
        <w:tc>
          <w:tcPr>
            <w:tcW w:w="277" w:type="dxa"/>
          </w:tcPr>
          <w:p w:rsidR="00A359C8" w:rsidRPr="009934A2" w:rsidRDefault="00C57CE7" w:rsidP="00A67B9E">
            <w:pPr>
              <w:pStyle w:val="Default"/>
              <w:rPr>
                <w:b/>
                <w:sz w:val="22"/>
                <w:szCs w:val="22"/>
              </w:rPr>
            </w:pPr>
            <w:r w:rsidRPr="009934A2">
              <w:rPr>
                <w:b/>
                <w:sz w:val="22"/>
                <w:szCs w:val="22"/>
              </w:rPr>
              <w:t>2</w:t>
            </w:r>
          </w:p>
        </w:tc>
        <w:tc>
          <w:tcPr>
            <w:tcW w:w="6805" w:type="dxa"/>
          </w:tcPr>
          <w:p w:rsidR="00A359C8" w:rsidRPr="009934A2" w:rsidRDefault="00C57CE7" w:rsidP="00A67B9E">
            <w:pPr>
              <w:pStyle w:val="Default"/>
              <w:rPr>
                <w:sz w:val="22"/>
                <w:szCs w:val="22"/>
              </w:rPr>
            </w:pPr>
            <w:r w:rsidRPr="009934A2">
              <w:rPr>
                <w:sz w:val="22"/>
                <w:szCs w:val="22"/>
              </w:rPr>
              <w:t>Clarity around elements of contraception that will be funded as part of an integrated GUM consultation</w:t>
            </w:r>
          </w:p>
        </w:tc>
        <w:tc>
          <w:tcPr>
            <w:tcW w:w="1512" w:type="dxa"/>
          </w:tcPr>
          <w:p w:rsidR="00A359C8" w:rsidRPr="00A67B9E" w:rsidRDefault="00C57CE7" w:rsidP="00A67B9E">
            <w:pPr>
              <w:pStyle w:val="Default"/>
              <w:rPr>
                <w:sz w:val="22"/>
                <w:szCs w:val="22"/>
              </w:rPr>
            </w:pPr>
            <w:r>
              <w:rPr>
                <w:sz w:val="22"/>
                <w:szCs w:val="22"/>
              </w:rPr>
              <w:t>3.1</w:t>
            </w:r>
          </w:p>
        </w:tc>
      </w:tr>
      <w:tr w:rsidR="00A359C8" w:rsidRPr="00A67B9E" w:rsidTr="006C368A">
        <w:trPr>
          <w:trHeight w:val="233"/>
        </w:trPr>
        <w:tc>
          <w:tcPr>
            <w:tcW w:w="277" w:type="dxa"/>
          </w:tcPr>
          <w:p w:rsidR="00A359C8" w:rsidRPr="009934A2" w:rsidRDefault="00B93010" w:rsidP="00A67B9E">
            <w:pPr>
              <w:pStyle w:val="Default"/>
              <w:rPr>
                <w:b/>
                <w:sz w:val="22"/>
                <w:szCs w:val="22"/>
              </w:rPr>
            </w:pPr>
            <w:r w:rsidRPr="009934A2">
              <w:rPr>
                <w:b/>
                <w:sz w:val="22"/>
                <w:szCs w:val="22"/>
              </w:rPr>
              <w:t>3</w:t>
            </w:r>
          </w:p>
        </w:tc>
        <w:tc>
          <w:tcPr>
            <w:tcW w:w="6805" w:type="dxa"/>
          </w:tcPr>
          <w:p w:rsidR="00A359C8" w:rsidRPr="009934A2" w:rsidRDefault="00C57CE7" w:rsidP="00A67B9E">
            <w:pPr>
              <w:pStyle w:val="Default"/>
              <w:rPr>
                <w:sz w:val="22"/>
                <w:szCs w:val="22"/>
              </w:rPr>
            </w:pPr>
            <w:r w:rsidRPr="009934A2">
              <w:rPr>
                <w:sz w:val="22"/>
                <w:szCs w:val="22"/>
              </w:rPr>
              <w:t>Additional detail regarding locally agreed arrangements for funding contraception between commissioners</w:t>
            </w:r>
          </w:p>
        </w:tc>
        <w:tc>
          <w:tcPr>
            <w:tcW w:w="1512" w:type="dxa"/>
          </w:tcPr>
          <w:p w:rsidR="00A359C8" w:rsidRPr="00A67B9E" w:rsidRDefault="00B93010" w:rsidP="00A67B9E">
            <w:pPr>
              <w:pStyle w:val="Default"/>
              <w:rPr>
                <w:sz w:val="22"/>
                <w:szCs w:val="22"/>
              </w:rPr>
            </w:pPr>
            <w:r>
              <w:rPr>
                <w:sz w:val="22"/>
                <w:szCs w:val="22"/>
              </w:rPr>
              <w:t>3.1, 3.2</w:t>
            </w:r>
          </w:p>
        </w:tc>
      </w:tr>
      <w:tr w:rsidR="00A359C8" w:rsidRPr="00A67B9E" w:rsidTr="006C368A">
        <w:trPr>
          <w:trHeight w:val="233"/>
        </w:trPr>
        <w:tc>
          <w:tcPr>
            <w:tcW w:w="277" w:type="dxa"/>
          </w:tcPr>
          <w:p w:rsidR="00A359C8" w:rsidRPr="009934A2" w:rsidRDefault="00B93010" w:rsidP="00A67B9E">
            <w:pPr>
              <w:pStyle w:val="Default"/>
              <w:rPr>
                <w:b/>
                <w:sz w:val="22"/>
                <w:szCs w:val="22"/>
              </w:rPr>
            </w:pPr>
            <w:r w:rsidRPr="009934A2">
              <w:rPr>
                <w:b/>
                <w:sz w:val="22"/>
                <w:szCs w:val="22"/>
              </w:rPr>
              <w:t>4</w:t>
            </w:r>
          </w:p>
        </w:tc>
        <w:tc>
          <w:tcPr>
            <w:tcW w:w="6805" w:type="dxa"/>
          </w:tcPr>
          <w:p w:rsidR="00A359C8" w:rsidRPr="009934A2" w:rsidRDefault="00C57CE7" w:rsidP="00A67B9E">
            <w:pPr>
              <w:pStyle w:val="Default"/>
              <w:rPr>
                <w:sz w:val="22"/>
                <w:szCs w:val="22"/>
              </w:rPr>
            </w:pPr>
            <w:r w:rsidRPr="009934A2">
              <w:rPr>
                <w:sz w:val="22"/>
                <w:szCs w:val="22"/>
              </w:rPr>
              <w:t>Additional detail regarding locally agreed arrangements for funding online STI testing between commissioners</w:t>
            </w:r>
          </w:p>
        </w:tc>
        <w:tc>
          <w:tcPr>
            <w:tcW w:w="1512" w:type="dxa"/>
          </w:tcPr>
          <w:p w:rsidR="00A359C8" w:rsidRPr="00A67B9E" w:rsidRDefault="00B93010" w:rsidP="00A67B9E">
            <w:pPr>
              <w:pStyle w:val="Default"/>
              <w:rPr>
                <w:sz w:val="22"/>
                <w:szCs w:val="22"/>
              </w:rPr>
            </w:pPr>
            <w:r>
              <w:rPr>
                <w:sz w:val="22"/>
                <w:szCs w:val="22"/>
              </w:rPr>
              <w:t>3.2</w:t>
            </w:r>
          </w:p>
        </w:tc>
      </w:tr>
      <w:tr w:rsidR="00A359C8" w:rsidRPr="00A67B9E" w:rsidTr="006C368A">
        <w:trPr>
          <w:trHeight w:val="233"/>
        </w:trPr>
        <w:tc>
          <w:tcPr>
            <w:tcW w:w="277" w:type="dxa"/>
          </w:tcPr>
          <w:p w:rsidR="00A359C8" w:rsidRPr="009934A2" w:rsidRDefault="00B93010" w:rsidP="00A67B9E">
            <w:pPr>
              <w:pStyle w:val="Default"/>
              <w:rPr>
                <w:b/>
                <w:sz w:val="22"/>
                <w:szCs w:val="22"/>
              </w:rPr>
            </w:pPr>
            <w:r w:rsidRPr="009934A2">
              <w:rPr>
                <w:b/>
                <w:sz w:val="22"/>
                <w:szCs w:val="22"/>
              </w:rPr>
              <w:t>5</w:t>
            </w:r>
          </w:p>
        </w:tc>
        <w:tc>
          <w:tcPr>
            <w:tcW w:w="6805" w:type="dxa"/>
          </w:tcPr>
          <w:p w:rsidR="00A359C8" w:rsidRPr="009934A2" w:rsidRDefault="00B93010" w:rsidP="00A67B9E">
            <w:pPr>
              <w:pStyle w:val="Default"/>
              <w:rPr>
                <w:sz w:val="22"/>
                <w:szCs w:val="22"/>
              </w:rPr>
            </w:pPr>
            <w:r w:rsidRPr="009934A2">
              <w:rPr>
                <w:sz w:val="22"/>
                <w:szCs w:val="22"/>
              </w:rPr>
              <w:t>Addition of mode of service provision to backing data requirements where there are prior formal agreements in place to fund non face</w:t>
            </w:r>
            <w:r w:rsidR="004B30B3">
              <w:rPr>
                <w:sz w:val="22"/>
                <w:szCs w:val="22"/>
              </w:rPr>
              <w:t>-</w:t>
            </w:r>
            <w:r w:rsidRPr="009934A2">
              <w:rPr>
                <w:sz w:val="22"/>
                <w:szCs w:val="22"/>
              </w:rPr>
              <w:t>to</w:t>
            </w:r>
            <w:r w:rsidR="004B30B3">
              <w:rPr>
                <w:sz w:val="22"/>
                <w:szCs w:val="22"/>
              </w:rPr>
              <w:t>-</w:t>
            </w:r>
            <w:r w:rsidRPr="009934A2">
              <w:rPr>
                <w:sz w:val="22"/>
                <w:szCs w:val="22"/>
              </w:rPr>
              <w:t>face activity</w:t>
            </w:r>
          </w:p>
        </w:tc>
        <w:tc>
          <w:tcPr>
            <w:tcW w:w="1512" w:type="dxa"/>
          </w:tcPr>
          <w:p w:rsidR="00A359C8" w:rsidRPr="00A67B9E" w:rsidRDefault="00B93010" w:rsidP="00A67B9E">
            <w:pPr>
              <w:pStyle w:val="Default"/>
              <w:rPr>
                <w:sz w:val="22"/>
                <w:szCs w:val="22"/>
              </w:rPr>
            </w:pPr>
            <w:r>
              <w:rPr>
                <w:sz w:val="22"/>
                <w:szCs w:val="22"/>
              </w:rPr>
              <w:t>3.3</w:t>
            </w:r>
          </w:p>
        </w:tc>
      </w:tr>
      <w:tr w:rsidR="00A359C8" w:rsidRPr="00A67B9E" w:rsidTr="006C368A">
        <w:trPr>
          <w:trHeight w:val="233"/>
        </w:trPr>
        <w:tc>
          <w:tcPr>
            <w:tcW w:w="277" w:type="dxa"/>
          </w:tcPr>
          <w:p w:rsidR="00A359C8" w:rsidRPr="009934A2" w:rsidRDefault="009934A2" w:rsidP="00A67B9E">
            <w:pPr>
              <w:pStyle w:val="Default"/>
              <w:rPr>
                <w:b/>
                <w:sz w:val="22"/>
                <w:szCs w:val="22"/>
              </w:rPr>
            </w:pPr>
            <w:r>
              <w:rPr>
                <w:b/>
                <w:sz w:val="22"/>
                <w:szCs w:val="22"/>
              </w:rPr>
              <w:t>6</w:t>
            </w:r>
          </w:p>
        </w:tc>
        <w:tc>
          <w:tcPr>
            <w:tcW w:w="6805" w:type="dxa"/>
          </w:tcPr>
          <w:p w:rsidR="00A359C8" w:rsidRPr="009934A2" w:rsidRDefault="00B93010" w:rsidP="00A67B9E">
            <w:pPr>
              <w:pStyle w:val="Default"/>
              <w:rPr>
                <w:sz w:val="22"/>
                <w:szCs w:val="22"/>
              </w:rPr>
            </w:pPr>
            <w:r w:rsidRPr="009934A2">
              <w:rPr>
                <w:sz w:val="22"/>
                <w:szCs w:val="22"/>
              </w:rPr>
              <w:t xml:space="preserve">Insertion of reference to NHS Data Security and Protection Toolkit </w:t>
            </w:r>
          </w:p>
        </w:tc>
        <w:tc>
          <w:tcPr>
            <w:tcW w:w="1512" w:type="dxa"/>
          </w:tcPr>
          <w:p w:rsidR="00A359C8" w:rsidRPr="00A67B9E" w:rsidRDefault="00B93010" w:rsidP="00A67B9E">
            <w:pPr>
              <w:pStyle w:val="Default"/>
              <w:rPr>
                <w:sz w:val="22"/>
                <w:szCs w:val="22"/>
              </w:rPr>
            </w:pPr>
            <w:r>
              <w:rPr>
                <w:sz w:val="22"/>
                <w:szCs w:val="22"/>
              </w:rPr>
              <w:t>3.4</w:t>
            </w:r>
          </w:p>
        </w:tc>
      </w:tr>
      <w:tr w:rsidR="009934A2" w:rsidRPr="00A67B9E" w:rsidTr="006C368A">
        <w:trPr>
          <w:trHeight w:val="233"/>
        </w:trPr>
        <w:tc>
          <w:tcPr>
            <w:tcW w:w="277" w:type="dxa"/>
          </w:tcPr>
          <w:p w:rsidR="009934A2" w:rsidRPr="009934A2" w:rsidRDefault="009934A2" w:rsidP="00A67B9E">
            <w:pPr>
              <w:pStyle w:val="Default"/>
              <w:rPr>
                <w:b/>
                <w:sz w:val="22"/>
                <w:szCs w:val="22"/>
              </w:rPr>
            </w:pPr>
            <w:r>
              <w:rPr>
                <w:b/>
                <w:sz w:val="22"/>
                <w:szCs w:val="22"/>
              </w:rPr>
              <w:t>7</w:t>
            </w:r>
          </w:p>
        </w:tc>
        <w:tc>
          <w:tcPr>
            <w:tcW w:w="6805" w:type="dxa"/>
          </w:tcPr>
          <w:p w:rsidR="009934A2" w:rsidRDefault="009934A2" w:rsidP="00A67B9E">
            <w:pPr>
              <w:pStyle w:val="Default"/>
              <w:rPr>
                <w:sz w:val="22"/>
                <w:szCs w:val="22"/>
              </w:rPr>
            </w:pPr>
            <w:r>
              <w:rPr>
                <w:sz w:val="22"/>
                <w:szCs w:val="22"/>
              </w:rPr>
              <w:t>Insertion of numbered paragraphs for clarity within section 4</w:t>
            </w:r>
          </w:p>
        </w:tc>
        <w:tc>
          <w:tcPr>
            <w:tcW w:w="1512" w:type="dxa"/>
          </w:tcPr>
          <w:p w:rsidR="009934A2" w:rsidRDefault="009934A2" w:rsidP="00A67B9E">
            <w:pPr>
              <w:pStyle w:val="Default"/>
              <w:rPr>
                <w:sz w:val="22"/>
                <w:szCs w:val="22"/>
              </w:rPr>
            </w:pPr>
            <w:r>
              <w:rPr>
                <w:sz w:val="22"/>
                <w:szCs w:val="22"/>
              </w:rPr>
              <w:t>4.</w:t>
            </w:r>
          </w:p>
        </w:tc>
      </w:tr>
      <w:tr w:rsidR="009934A2" w:rsidRPr="00A67B9E" w:rsidTr="006C368A">
        <w:trPr>
          <w:trHeight w:val="233"/>
        </w:trPr>
        <w:tc>
          <w:tcPr>
            <w:tcW w:w="277" w:type="dxa"/>
          </w:tcPr>
          <w:p w:rsidR="009934A2" w:rsidRPr="009934A2" w:rsidRDefault="009934A2" w:rsidP="00A67B9E">
            <w:pPr>
              <w:pStyle w:val="Default"/>
              <w:rPr>
                <w:b/>
                <w:sz w:val="22"/>
                <w:szCs w:val="22"/>
              </w:rPr>
            </w:pPr>
            <w:r>
              <w:rPr>
                <w:b/>
                <w:sz w:val="22"/>
                <w:szCs w:val="22"/>
              </w:rPr>
              <w:t>8</w:t>
            </w:r>
          </w:p>
        </w:tc>
        <w:tc>
          <w:tcPr>
            <w:tcW w:w="6805" w:type="dxa"/>
          </w:tcPr>
          <w:p w:rsidR="009934A2" w:rsidRDefault="009934A2" w:rsidP="00A67B9E">
            <w:pPr>
              <w:pStyle w:val="Default"/>
              <w:rPr>
                <w:sz w:val="22"/>
                <w:szCs w:val="22"/>
              </w:rPr>
            </w:pPr>
            <w:r>
              <w:rPr>
                <w:sz w:val="22"/>
                <w:szCs w:val="22"/>
              </w:rPr>
              <w:t>Clarity around risks of not offering open access services</w:t>
            </w:r>
          </w:p>
        </w:tc>
        <w:tc>
          <w:tcPr>
            <w:tcW w:w="1512" w:type="dxa"/>
          </w:tcPr>
          <w:p w:rsidR="009934A2" w:rsidRDefault="009934A2" w:rsidP="00A67B9E">
            <w:pPr>
              <w:pStyle w:val="Default"/>
              <w:rPr>
                <w:sz w:val="22"/>
                <w:szCs w:val="22"/>
              </w:rPr>
            </w:pPr>
            <w:r>
              <w:rPr>
                <w:sz w:val="22"/>
                <w:szCs w:val="22"/>
              </w:rPr>
              <w:t>4.2</w:t>
            </w:r>
          </w:p>
        </w:tc>
      </w:tr>
      <w:tr w:rsidR="009934A2" w:rsidRPr="00A67B9E" w:rsidTr="006C368A">
        <w:trPr>
          <w:trHeight w:val="233"/>
        </w:trPr>
        <w:tc>
          <w:tcPr>
            <w:tcW w:w="277" w:type="dxa"/>
          </w:tcPr>
          <w:p w:rsidR="009934A2" w:rsidRPr="009934A2" w:rsidRDefault="009934A2" w:rsidP="00A67B9E">
            <w:pPr>
              <w:pStyle w:val="Default"/>
              <w:rPr>
                <w:b/>
                <w:sz w:val="22"/>
                <w:szCs w:val="22"/>
              </w:rPr>
            </w:pPr>
            <w:r>
              <w:rPr>
                <w:b/>
                <w:sz w:val="22"/>
                <w:szCs w:val="22"/>
              </w:rPr>
              <w:t>9</w:t>
            </w:r>
          </w:p>
        </w:tc>
        <w:tc>
          <w:tcPr>
            <w:tcW w:w="6805" w:type="dxa"/>
          </w:tcPr>
          <w:p w:rsidR="009934A2" w:rsidRDefault="009934A2" w:rsidP="00A67B9E">
            <w:pPr>
              <w:pStyle w:val="Default"/>
              <w:rPr>
                <w:sz w:val="22"/>
                <w:szCs w:val="22"/>
              </w:rPr>
            </w:pPr>
            <w:r>
              <w:rPr>
                <w:sz w:val="22"/>
                <w:szCs w:val="22"/>
              </w:rPr>
              <w:t xml:space="preserve">Addition of paragraph describing increasing ways in which digital technology is being used to provide sexual health services </w:t>
            </w:r>
          </w:p>
        </w:tc>
        <w:tc>
          <w:tcPr>
            <w:tcW w:w="1512" w:type="dxa"/>
          </w:tcPr>
          <w:p w:rsidR="009934A2" w:rsidRDefault="009934A2" w:rsidP="00A67B9E">
            <w:pPr>
              <w:pStyle w:val="Default"/>
              <w:rPr>
                <w:sz w:val="22"/>
                <w:szCs w:val="22"/>
              </w:rPr>
            </w:pPr>
            <w:r>
              <w:rPr>
                <w:sz w:val="22"/>
                <w:szCs w:val="22"/>
              </w:rPr>
              <w:t>4.8</w:t>
            </w:r>
          </w:p>
        </w:tc>
      </w:tr>
    </w:tbl>
    <w:p w:rsidR="008F51FC" w:rsidRPr="00A67B9E" w:rsidRDefault="008F51FC" w:rsidP="00A67B9E">
      <w:pPr>
        <w:pStyle w:val="Default"/>
        <w:rPr>
          <w:sz w:val="22"/>
          <w:szCs w:val="22"/>
        </w:rPr>
      </w:pPr>
    </w:p>
    <w:p w:rsidR="008F51FC" w:rsidRPr="00A67B9E" w:rsidRDefault="008F51FC" w:rsidP="00A67B9E">
      <w:pPr>
        <w:rPr>
          <w:rFonts w:cs="Arial"/>
          <w:color w:val="000000"/>
        </w:rPr>
      </w:pPr>
      <w:r w:rsidRPr="00A67B9E">
        <w:rPr>
          <w:rFonts w:cs="Arial"/>
        </w:rPr>
        <w:br w:type="page"/>
      </w:r>
    </w:p>
    <w:p w:rsidR="008F51FC" w:rsidRPr="00A67B9E" w:rsidRDefault="008F51FC" w:rsidP="00A67B9E">
      <w:pPr>
        <w:pStyle w:val="Default"/>
        <w:numPr>
          <w:ilvl w:val="0"/>
          <w:numId w:val="1"/>
        </w:numPr>
        <w:rPr>
          <w:b/>
          <w:sz w:val="22"/>
          <w:szCs w:val="22"/>
        </w:rPr>
      </w:pPr>
      <w:r w:rsidRPr="00A67B9E">
        <w:rPr>
          <w:b/>
          <w:sz w:val="22"/>
          <w:szCs w:val="22"/>
        </w:rPr>
        <w:t>Policy</w:t>
      </w:r>
    </w:p>
    <w:p w:rsidR="008F51FC" w:rsidRPr="00A67B9E" w:rsidRDefault="008F51FC" w:rsidP="00A67B9E">
      <w:pPr>
        <w:pStyle w:val="Default"/>
        <w:rPr>
          <w:sz w:val="22"/>
          <w:szCs w:val="22"/>
        </w:rPr>
      </w:pPr>
    </w:p>
    <w:p w:rsidR="002161D0" w:rsidRPr="00A67B9E" w:rsidRDefault="002161D0" w:rsidP="00A67B9E">
      <w:pPr>
        <w:pStyle w:val="Default"/>
        <w:rPr>
          <w:sz w:val="22"/>
          <w:szCs w:val="22"/>
        </w:rPr>
      </w:pPr>
    </w:p>
    <w:p w:rsidR="002161D0" w:rsidRPr="00A67B9E" w:rsidRDefault="002161D0" w:rsidP="00A67B9E">
      <w:pPr>
        <w:pStyle w:val="Default"/>
        <w:numPr>
          <w:ilvl w:val="1"/>
          <w:numId w:val="1"/>
        </w:numPr>
        <w:rPr>
          <w:sz w:val="22"/>
          <w:szCs w:val="22"/>
        </w:rPr>
      </w:pPr>
      <w:r w:rsidRPr="00A67B9E">
        <w:rPr>
          <w:sz w:val="22"/>
          <w:szCs w:val="22"/>
        </w:rPr>
        <w:t xml:space="preserve">Under the terms of the Policy the Local Authority </w:t>
      </w:r>
      <w:r w:rsidRPr="00C57CE7">
        <w:rPr>
          <w:b/>
          <w:bCs/>
          <w:sz w:val="22"/>
          <w:szCs w:val="22"/>
          <w:u w:val="single"/>
        </w:rPr>
        <w:t xml:space="preserve">will </w:t>
      </w:r>
      <w:r w:rsidRPr="00A67B9E">
        <w:rPr>
          <w:sz w:val="22"/>
          <w:szCs w:val="22"/>
        </w:rPr>
        <w:t xml:space="preserve">reimburse: </w:t>
      </w:r>
    </w:p>
    <w:p w:rsidR="002161D0" w:rsidRPr="00A67B9E" w:rsidRDefault="002161D0" w:rsidP="00A67B9E">
      <w:pPr>
        <w:pStyle w:val="Default"/>
        <w:ind w:left="792"/>
        <w:rPr>
          <w:sz w:val="22"/>
          <w:szCs w:val="22"/>
        </w:rPr>
      </w:pPr>
    </w:p>
    <w:p w:rsidR="002161D0" w:rsidRPr="00A67B9E" w:rsidRDefault="002161D0" w:rsidP="00A67B9E">
      <w:pPr>
        <w:pStyle w:val="Default"/>
        <w:numPr>
          <w:ilvl w:val="0"/>
          <w:numId w:val="3"/>
        </w:numPr>
        <w:spacing w:after="276"/>
        <w:rPr>
          <w:sz w:val="22"/>
          <w:szCs w:val="22"/>
        </w:rPr>
      </w:pPr>
      <w:r w:rsidRPr="00A67B9E">
        <w:rPr>
          <w:sz w:val="22"/>
          <w:szCs w:val="22"/>
        </w:rPr>
        <w:t>Provider invoices for out of area Genito-Urinary Medicine (GUM) activity at the locally agreed tariff for this activity (up to the non-mandatory national Department of Health GUM tariff cost envelope</w:t>
      </w:r>
      <w:r w:rsidRPr="00A67B9E">
        <w:rPr>
          <w:rStyle w:val="FootnoteReference"/>
          <w:sz w:val="22"/>
          <w:szCs w:val="22"/>
        </w:rPr>
        <w:footnoteReference w:id="3"/>
      </w:r>
      <w:r w:rsidRPr="00A67B9E">
        <w:rPr>
          <w:sz w:val="22"/>
          <w:szCs w:val="22"/>
        </w:rPr>
        <w:t xml:space="preserve"> </w:t>
      </w:r>
      <w:r w:rsidRPr="00A67B9E">
        <w:rPr>
          <w:i/>
          <w:iCs/>
          <w:sz w:val="22"/>
          <w:szCs w:val="22"/>
        </w:rPr>
        <w:t xml:space="preserve">excluding </w:t>
      </w:r>
      <w:r w:rsidRPr="00A67B9E">
        <w:rPr>
          <w:sz w:val="22"/>
          <w:szCs w:val="22"/>
        </w:rPr>
        <w:t xml:space="preserve">market force factors (MFF). This should be at no more cost than the tariff paid to the Provider by their local Commissioner. </w:t>
      </w:r>
    </w:p>
    <w:p w:rsidR="00BF2405" w:rsidRPr="00A67B9E" w:rsidRDefault="002161D0" w:rsidP="00A67B9E">
      <w:pPr>
        <w:pStyle w:val="Default"/>
        <w:numPr>
          <w:ilvl w:val="0"/>
          <w:numId w:val="3"/>
        </w:numPr>
        <w:rPr>
          <w:sz w:val="22"/>
          <w:szCs w:val="22"/>
        </w:rPr>
      </w:pPr>
      <w:r w:rsidRPr="00A67B9E">
        <w:rPr>
          <w:sz w:val="22"/>
          <w:szCs w:val="22"/>
        </w:rPr>
        <w:t>Provider invoices for contraception activity</w:t>
      </w:r>
      <w:r w:rsidR="0050462E" w:rsidRPr="00A67B9E">
        <w:rPr>
          <w:sz w:val="22"/>
          <w:szCs w:val="22"/>
        </w:rPr>
        <w:t xml:space="preserve"> </w:t>
      </w:r>
      <w:r w:rsidR="0050462E" w:rsidRPr="005A2014">
        <w:rPr>
          <w:b/>
          <w:sz w:val="22"/>
          <w:szCs w:val="22"/>
          <w:u w:val="single"/>
        </w:rPr>
        <w:t>only</w:t>
      </w:r>
      <w:r w:rsidRPr="005A2014">
        <w:rPr>
          <w:b/>
          <w:sz w:val="22"/>
          <w:szCs w:val="22"/>
        </w:rPr>
        <w:t xml:space="preserve"> when this activity forms part of </w:t>
      </w:r>
      <w:r w:rsidR="00A67B9E" w:rsidRPr="005A2014">
        <w:rPr>
          <w:b/>
          <w:sz w:val="22"/>
          <w:szCs w:val="22"/>
        </w:rPr>
        <w:t xml:space="preserve">an integrated </w:t>
      </w:r>
      <w:r w:rsidRPr="005A2014">
        <w:rPr>
          <w:b/>
          <w:sz w:val="22"/>
          <w:szCs w:val="22"/>
        </w:rPr>
        <w:t>activity tariff</w:t>
      </w:r>
      <w:r w:rsidR="00BF2405" w:rsidRPr="005A2014">
        <w:rPr>
          <w:b/>
          <w:sz w:val="22"/>
          <w:szCs w:val="22"/>
        </w:rPr>
        <w:t>;</w:t>
      </w:r>
      <w:r w:rsidR="00BF2405" w:rsidRPr="00A67B9E">
        <w:rPr>
          <w:sz w:val="22"/>
          <w:szCs w:val="22"/>
        </w:rPr>
        <w:t xml:space="preserve"> this includes;</w:t>
      </w:r>
    </w:p>
    <w:p w:rsidR="00BF2405" w:rsidRPr="00A67B9E" w:rsidRDefault="002161D0" w:rsidP="00A67B9E">
      <w:pPr>
        <w:pStyle w:val="Default"/>
        <w:numPr>
          <w:ilvl w:val="1"/>
          <w:numId w:val="3"/>
        </w:numPr>
        <w:rPr>
          <w:sz w:val="22"/>
          <w:szCs w:val="22"/>
        </w:rPr>
      </w:pPr>
      <w:r w:rsidRPr="00A67B9E">
        <w:rPr>
          <w:sz w:val="22"/>
          <w:szCs w:val="22"/>
        </w:rPr>
        <w:t>provision of emergency contraception (pill or IUD)</w:t>
      </w:r>
    </w:p>
    <w:p w:rsidR="00BF2405" w:rsidRPr="00A67B9E" w:rsidRDefault="002161D0" w:rsidP="00A67B9E">
      <w:pPr>
        <w:pStyle w:val="Default"/>
        <w:numPr>
          <w:ilvl w:val="1"/>
          <w:numId w:val="3"/>
        </w:numPr>
        <w:rPr>
          <w:sz w:val="22"/>
          <w:szCs w:val="22"/>
        </w:rPr>
      </w:pPr>
      <w:r w:rsidRPr="00A67B9E">
        <w:rPr>
          <w:sz w:val="22"/>
          <w:szCs w:val="22"/>
        </w:rPr>
        <w:t xml:space="preserve">pregnancy test </w:t>
      </w:r>
    </w:p>
    <w:p w:rsidR="00A359C8" w:rsidRDefault="002161D0" w:rsidP="0048189A">
      <w:pPr>
        <w:pStyle w:val="Default"/>
        <w:numPr>
          <w:ilvl w:val="1"/>
          <w:numId w:val="3"/>
        </w:numPr>
        <w:ind w:right="-330"/>
        <w:rPr>
          <w:sz w:val="22"/>
          <w:szCs w:val="22"/>
        </w:rPr>
      </w:pPr>
      <w:r w:rsidRPr="00A67B9E">
        <w:rPr>
          <w:sz w:val="22"/>
          <w:szCs w:val="22"/>
        </w:rPr>
        <w:t>initial starter pack of oral contraception as part of a</w:t>
      </w:r>
      <w:r w:rsidR="00A359C8">
        <w:rPr>
          <w:sz w:val="22"/>
          <w:szCs w:val="22"/>
        </w:rPr>
        <w:t>n integrated</w:t>
      </w:r>
      <w:r w:rsidRPr="00A67B9E">
        <w:rPr>
          <w:sz w:val="22"/>
          <w:szCs w:val="22"/>
        </w:rPr>
        <w:t xml:space="preserve"> GUM</w:t>
      </w:r>
      <w:r w:rsidR="0048189A">
        <w:rPr>
          <w:sz w:val="22"/>
          <w:szCs w:val="22"/>
        </w:rPr>
        <w:t xml:space="preserve"> </w:t>
      </w:r>
      <w:r w:rsidRPr="00A67B9E">
        <w:rPr>
          <w:sz w:val="22"/>
          <w:szCs w:val="22"/>
        </w:rPr>
        <w:t>consultation</w:t>
      </w:r>
      <w:r w:rsidR="00A359C8">
        <w:rPr>
          <w:sz w:val="22"/>
          <w:szCs w:val="22"/>
        </w:rPr>
        <w:t xml:space="preserve"> </w:t>
      </w:r>
    </w:p>
    <w:p w:rsidR="00A359C8" w:rsidRDefault="00A359C8" w:rsidP="00A359C8">
      <w:pPr>
        <w:pStyle w:val="Default"/>
        <w:ind w:left="360"/>
        <w:rPr>
          <w:sz w:val="22"/>
          <w:szCs w:val="22"/>
        </w:rPr>
      </w:pPr>
      <w:r>
        <w:rPr>
          <w:sz w:val="22"/>
          <w:szCs w:val="22"/>
        </w:rPr>
        <w:t>OR</w:t>
      </w:r>
    </w:p>
    <w:p w:rsidR="00A359C8" w:rsidRDefault="00A359C8" w:rsidP="00A359C8">
      <w:pPr>
        <w:pStyle w:val="Default"/>
        <w:ind w:left="360"/>
        <w:rPr>
          <w:sz w:val="22"/>
          <w:szCs w:val="22"/>
        </w:rPr>
      </w:pPr>
    </w:p>
    <w:p w:rsidR="002161D0" w:rsidRPr="00A67B9E" w:rsidRDefault="00A359C8" w:rsidP="00A359C8">
      <w:pPr>
        <w:pStyle w:val="Default"/>
        <w:numPr>
          <w:ilvl w:val="0"/>
          <w:numId w:val="7"/>
        </w:numPr>
        <w:ind w:hanging="654"/>
        <w:rPr>
          <w:sz w:val="22"/>
          <w:szCs w:val="22"/>
        </w:rPr>
      </w:pPr>
      <w:r>
        <w:rPr>
          <w:sz w:val="22"/>
          <w:szCs w:val="22"/>
        </w:rPr>
        <w:t xml:space="preserve">When a </w:t>
      </w:r>
      <w:r w:rsidR="00C57CE7">
        <w:rPr>
          <w:sz w:val="22"/>
          <w:szCs w:val="22"/>
        </w:rPr>
        <w:t xml:space="preserve">prior formally agreed </w:t>
      </w:r>
      <w:r>
        <w:rPr>
          <w:sz w:val="22"/>
          <w:szCs w:val="22"/>
        </w:rPr>
        <w:t xml:space="preserve">contraception arrangement is in place between </w:t>
      </w:r>
      <w:r w:rsidR="00C57CE7">
        <w:rPr>
          <w:sz w:val="22"/>
          <w:szCs w:val="22"/>
        </w:rPr>
        <w:t xml:space="preserve">South East </w:t>
      </w:r>
      <w:r>
        <w:rPr>
          <w:sz w:val="22"/>
          <w:szCs w:val="22"/>
        </w:rPr>
        <w:t>commissioners</w:t>
      </w:r>
      <w:r w:rsidR="002161D0" w:rsidRPr="00A67B9E">
        <w:rPr>
          <w:sz w:val="22"/>
          <w:szCs w:val="22"/>
        </w:rPr>
        <w:t xml:space="preserve"> </w:t>
      </w:r>
    </w:p>
    <w:p w:rsidR="002161D0" w:rsidRPr="00A67B9E" w:rsidRDefault="002161D0" w:rsidP="00A67B9E">
      <w:pPr>
        <w:pStyle w:val="Default"/>
        <w:rPr>
          <w:sz w:val="22"/>
          <w:szCs w:val="22"/>
        </w:rPr>
      </w:pPr>
    </w:p>
    <w:p w:rsidR="002161D0" w:rsidRPr="00A67B9E" w:rsidRDefault="002161D0" w:rsidP="00A67B9E">
      <w:pPr>
        <w:pStyle w:val="Default"/>
        <w:numPr>
          <w:ilvl w:val="1"/>
          <w:numId w:val="1"/>
        </w:numPr>
        <w:rPr>
          <w:sz w:val="22"/>
          <w:szCs w:val="22"/>
        </w:rPr>
      </w:pPr>
      <w:r w:rsidRPr="00A67B9E">
        <w:rPr>
          <w:sz w:val="22"/>
          <w:szCs w:val="22"/>
        </w:rPr>
        <w:t xml:space="preserve">Under the terms of the Policy the Local Authority </w:t>
      </w:r>
      <w:r w:rsidRPr="00C57CE7">
        <w:rPr>
          <w:b/>
          <w:bCs/>
          <w:sz w:val="22"/>
          <w:szCs w:val="22"/>
          <w:u w:val="single"/>
        </w:rPr>
        <w:t>will not</w:t>
      </w:r>
      <w:r w:rsidRPr="00A67B9E">
        <w:rPr>
          <w:b/>
          <w:bCs/>
          <w:sz w:val="22"/>
          <w:szCs w:val="22"/>
        </w:rPr>
        <w:t xml:space="preserve"> </w:t>
      </w:r>
      <w:r w:rsidRPr="00A67B9E">
        <w:rPr>
          <w:sz w:val="22"/>
          <w:szCs w:val="22"/>
        </w:rPr>
        <w:t xml:space="preserve">reimburse: </w:t>
      </w:r>
    </w:p>
    <w:p w:rsidR="002161D0" w:rsidRPr="00A67B9E" w:rsidRDefault="002161D0" w:rsidP="00A67B9E">
      <w:pPr>
        <w:pStyle w:val="Default"/>
        <w:ind w:left="792"/>
        <w:rPr>
          <w:sz w:val="22"/>
          <w:szCs w:val="22"/>
        </w:rPr>
      </w:pPr>
    </w:p>
    <w:p w:rsidR="002161D0" w:rsidRPr="00A67B9E" w:rsidRDefault="002161D0" w:rsidP="00A67B9E">
      <w:pPr>
        <w:pStyle w:val="Default"/>
        <w:numPr>
          <w:ilvl w:val="0"/>
          <w:numId w:val="2"/>
        </w:numPr>
        <w:rPr>
          <w:sz w:val="22"/>
          <w:szCs w:val="22"/>
        </w:rPr>
      </w:pPr>
      <w:r w:rsidRPr="00A67B9E">
        <w:rPr>
          <w:sz w:val="22"/>
          <w:szCs w:val="22"/>
        </w:rPr>
        <w:t xml:space="preserve">Provider invoices for standalone contraceptive activity, unless a prior formal agreement </w:t>
      </w:r>
      <w:r w:rsidR="0050462E" w:rsidRPr="00A67B9E">
        <w:rPr>
          <w:sz w:val="22"/>
          <w:szCs w:val="22"/>
        </w:rPr>
        <w:t>has been made with the relevant out of area local authority.</w:t>
      </w:r>
    </w:p>
    <w:p w:rsidR="00F14FC5" w:rsidRPr="00A67B9E" w:rsidRDefault="00F14FC5" w:rsidP="00A67B9E">
      <w:pPr>
        <w:pStyle w:val="Default"/>
        <w:ind w:left="720"/>
        <w:rPr>
          <w:sz w:val="22"/>
          <w:szCs w:val="22"/>
        </w:rPr>
      </w:pPr>
    </w:p>
    <w:p w:rsidR="00F14FC5" w:rsidRPr="00A67B9E" w:rsidRDefault="00F14FC5" w:rsidP="00A67B9E">
      <w:pPr>
        <w:pStyle w:val="Default"/>
        <w:numPr>
          <w:ilvl w:val="0"/>
          <w:numId w:val="2"/>
        </w:numPr>
        <w:rPr>
          <w:sz w:val="22"/>
          <w:szCs w:val="22"/>
        </w:rPr>
      </w:pPr>
      <w:r w:rsidRPr="00A67B9E">
        <w:rPr>
          <w:sz w:val="22"/>
          <w:szCs w:val="22"/>
        </w:rPr>
        <w:t xml:space="preserve">Provider invoices for </w:t>
      </w:r>
      <w:r w:rsidR="00BF2405" w:rsidRPr="00A67B9E">
        <w:rPr>
          <w:sz w:val="22"/>
          <w:szCs w:val="22"/>
        </w:rPr>
        <w:t xml:space="preserve">sexual health elements of </w:t>
      </w:r>
      <w:r w:rsidRPr="00A67B9E">
        <w:rPr>
          <w:sz w:val="22"/>
          <w:szCs w:val="22"/>
        </w:rPr>
        <w:t>Psychosexual Counselling, unless a prior formal agreement has been made with the relevant out of area local authority.</w:t>
      </w:r>
    </w:p>
    <w:p w:rsidR="00C76904" w:rsidRPr="00A67B9E" w:rsidRDefault="00C76904" w:rsidP="00A67B9E">
      <w:pPr>
        <w:pStyle w:val="ListParagraph"/>
        <w:rPr>
          <w:rFonts w:cs="Arial"/>
        </w:rPr>
      </w:pPr>
    </w:p>
    <w:p w:rsidR="00C76904" w:rsidRPr="00A67B9E" w:rsidRDefault="00C76904" w:rsidP="00A67B9E">
      <w:pPr>
        <w:pStyle w:val="Default"/>
        <w:numPr>
          <w:ilvl w:val="0"/>
          <w:numId w:val="2"/>
        </w:numPr>
        <w:rPr>
          <w:sz w:val="22"/>
          <w:szCs w:val="22"/>
        </w:rPr>
      </w:pPr>
      <w:r w:rsidRPr="00A67B9E">
        <w:rPr>
          <w:sz w:val="22"/>
          <w:szCs w:val="22"/>
        </w:rPr>
        <w:t xml:space="preserve">Provider invoices for STI self-sampling or remote testing services unless a prior formal agreement has been made with the relevant out of area local </w:t>
      </w:r>
      <w:r w:rsidR="00A67B9E" w:rsidRPr="00A67B9E">
        <w:rPr>
          <w:sz w:val="22"/>
          <w:szCs w:val="22"/>
        </w:rPr>
        <w:t>authority.</w:t>
      </w:r>
    </w:p>
    <w:p w:rsidR="00F14FC5" w:rsidRPr="00A67B9E" w:rsidRDefault="00F14FC5" w:rsidP="00A67B9E">
      <w:pPr>
        <w:pStyle w:val="Default"/>
        <w:ind w:left="360"/>
        <w:rPr>
          <w:sz w:val="22"/>
          <w:szCs w:val="22"/>
        </w:rPr>
      </w:pPr>
    </w:p>
    <w:p w:rsidR="00C57CE7" w:rsidRPr="00A67B9E" w:rsidRDefault="00C57CE7" w:rsidP="00C57CE7">
      <w:pPr>
        <w:pStyle w:val="Default"/>
        <w:numPr>
          <w:ilvl w:val="0"/>
          <w:numId w:val="2"/>
        </w:numPr>
        <w:rPr>
          <w:sz w:val="22"/>
          <w:szCs w:val="22"/>
        </w:rPr>
      </w:pPr>
      <w:r w:rsidRPr="00A67B9E">
        <w:rPr>
          <w:sz w:val="22"/>
          <w:szCs w:val="22"/>
        </w:rPr>
        <w:t>Express / self-serve STI testing</w:t>
      </w:r>
      <w:r>
        <w:rPr>
          <w:sz w:val="22"/>
          <w:szCs w:val="22"/>
        </w:rPr>
        <w:t xml:space="preserve"> carried out in clinic</w:t>
      </w:r>
      <w:r w:rsidRPr="00A67B9E">
        <w:rPr>
          <w:sz w:val="22"/>
          <w:szCs w:val="22"/>
        </w:rPr>
        <w:t xml:space="preserve"> at full maximum locally agreed tariff or national non-mandatory tariff</w:t>
      </w:r>
    </w:p>
    <w:p w:rsidR="00C57CE7" w:rsidRDefault="00C57CE7" w:rsidP="00C57CE7">
      <w:pPr>
        <w:pStyle w:val="Default"/>
        <w:ind w:left="720"/>
        <w:rPr>
          <w:sz w:val="22"/>
          <w:szCs w:val="22"/>
        </w:rPr>
      </w:pPr>
    </w:p>
    <w:p w:rsidR="00F14FC5" w:rsidRPr="00A67B9E" w:rsidRDefault="00F14FC5" w:rsidP="00A67B9E">
      <w:pPr>
        <w:pStyle w:val="Default"/>
        <w:numPr>
          <w:ilvl w:val="0"/>
          <w:numId w:val="2"/>
        </w:numPr>
        <w:rPr>
          <w:sz w:val="22"/>
          <w:szCs w:val="22"/>
        </w:rPr>
      </w:pPr>
      <w:r w:rsidRPr="00A67B9E">
        <w:rPr>
          <w:sz w:val="22"/>
          <w:szCs w:val="22"/>
        </w:rPr>
        <w:t>Provider invoices for GUM First Appointment / GUM Follow Up Appointment where the local commissioner is charged on an integrated sexual health tariff basis or alternative basis</w:t>
      </w:r>
    </w:p>
    <w:p w:rsidR="002161D0" w:rsidRPr="00A67B9E" w:rsidRDefault="002161D0" w:rsidP="00A67B9E">
      <w:pPr>
        <w:pStyle w:val="Default"/>
        <w:rPr>
          <w:sz w:val="22"/>
          <w:szCs w:val="22"/>
        </w:rPr>
      </w:pPr>
    </w:p>
    <w:p w:rsidR="00C57CE7" w:rsidRDefault="00C57CE7" w:rsidP="00B93010">
      <w:pPr>
        <w:pStyle w:val="Default"/>
        <w:numPr>
          <w:ilvl w:val="0"/>
          <w:numId w:val="2"/>
        </w:numPr>
        <w:rPr>
          <w:sz w:val="22"/>
          <w:szCs w:val="22"/>
        </w:rPr>
      </w:pPr>
      <w:r w:rsidRPr="00A67B9E">
        <w:rPr>
          <w:sz w:val="22"/>
          <w:szCs w:val="22"/>
        </w:rPr>
        <w:t>Telephone, online or virtual consultations/support</w:t>
      </w:r>
      <w:r>
        <w:rPr>
          <w:sz w:val="22"/>
          <w:szCs w:val="22"/>
        </w:rPr>
        <w:t xml:space="preserve"> </w:t>
      </w:r>
      <w:r w:rsidRPr="00A67B9E">
        <w:rPr>
          <w:sz w:val="22"/>
          <w:szCs w:val="22"/>
        </w:rPr>
        <w:t xml:space="preserve">unless a prior formal agreement has been made with the relevant out of area local authority </w:t>
      </w:r>
    </w:p>
    <w:p w:rsidR="00B93010" w:rsidRPr="00B93010" w:rsidRDefault="00B93010" w:rsidP="00B93010">
      <w:pPr>
        <w:pStyle w:val="Default"/>
        <w:rPr>
          <w:sz w:val="22"/>
          <w:szCs w:val="22"/>
        </w:rPr>
      </w:pPr>
    </w:p>
    <w:p w:rsidR="00B93010" w:rsidRDefault="00B93010" w:rsidP="00B93010">
      <w:pPr>
        <w:pStyle w:val="Default"/>
        <w:numPr>
          <w:ilvl w:val="0"/>
          <w:numId w:val="2"/>
        </w:numPr>
        <w:rPr>
          <w:sz w:val="22"/>
          <w:szCs w:val="22"/>
        </w:rPr>
      </w:pPr>
      <w:r>
        <w:rPr>
          <w:sz w:val="22"/>
          <w:szCs w:val="22"/>
        </w:rPr>
        <w:t>Stand-alone s</w:t>
      </w:r>
      <w:r w:rsidRPr="00A67B9E">
        <w:rPr>
          <w:sz w:val="22"/>
          <w:szCs w:val="22"/>
        </w:rPr>
        <w:t>exual health promotion services</w:t>
      </w:r>
    </w:p>
    <w:p w:rsidR="002161D0" w:rsidRPr="00A67B9E" w:rsidRDefault="002161D0" w:rsidP="00A67B9E">
      <w:pPr>
        <w:pStyle w:val="Default"/>
        <w:numPr>
          <w:ilvl w:val="0"/>
          <w:numId w:val="2"/>
        </w:numPr>
        <w:spacing w:after="277"/>
        <w:rPr>
          <w:sz w:val="22"/>
          <w:szCs w:val="22"/>
        </w:rPr>
      </w:pPr>
      <w:r w:rsidRPr="00A67B9E">
        <w:rPr>
          <w:sz w:val="22"/>
          <w:szCs w:val="22"/>
        </w:rPr>
        <w:t xml:space="preserve">Market force factors (MFF) which are not applicable to Local Authorities </w:t>
      </w:r>
    </w:p>
    <w:p w:rsidR="00F22EE4" w:rsidRPr="00A67B9E" w:rsidRDefault="002161D0" w:rsidP="00B93010">
      <w:pPr>
        <w:pStyle w:val="Default"/>
        <w:numPr>
          <w:ilvl w:val="0"/>
          <w:numId w:val="2"/>
        </w:numPr>
        <w:spacing w:after="277"/>
        <w:rPr>
          <w:sz w:val="22"/>
          <w:szCs w:val="22"/>
        </w:rPr>
      </w:pPr>
      <w:r w:rsidRPr="00A67B9E">
        <w:rPr>
          <w:sz w:val="22"/>
          <w:szCs w:val="22"/>
        </w:rPr>
        <w:t xml:space="preserve">HIV treatment and care activity which is the responsibility of NHS England </w:t>
      </w:r>
    </w:p>
    <w:p w:rsidR="00CD7E00" w:rsidRPr="00A67B9E" w:rsidRDefault="00CD7E00" w:rsidP="00A67B9E">
      <w:pPr>
        <w:pStyle w:val="Default"/>
        <w:ind w:left="720"/>
        <w:rPr>
          <w:sz w:val="22"/>
          <w:szCs w:val="22"/>
        </w:rPr>
      </w:pPr>
    </w:p>
    <w:p w:rsidR="002161D0" w:rsidRPr="00A67B9E" w:rsidRDefault="00CD7E00" w:rsidP="00A67B9E">
      <w:pPr>
        <w:pStyle w:val="ListParagraph"/>
        <w:widowControl w:val="0"/>
        <w:numPr>
          <w:ilvl w:val="1"/>
          <w:numId w:val="1"/>
        </w:numPr>
        <w:tabs>
          <w:tab w:val="left" w:pos="716"/>
        </w:tabs>
        <w:autoSpaceDE w:val="0"/>
        <w:autoSpaceDN w:val="0"/>
        <w:adjustRightInd w:val="0"/>
        <w:spacing w:line="276" w:lineRule="exact"/>
        <w:rPr>
          <w:rFonts w:cs="Arial"/>
        </w:rPr>
      </w:pPr>
      <w:r w:rsidRPr="00A67B9E">
        <w:rPr>
          <w:rFonts w:cs="Arial"/>
          <w:spacing w:val="-2"/>
        </w:rPr>
        <w:t>In order to validate the invoices received, Providers will be required to provide the following backing information. This data should be</w:t>
      </w:r>
      <w:r w:rsidRPr="00A67B9E">
        <w:rPr>
          <w:rFonts w:cs="Arial"/>
          <w:b/>
          <w:bCs/>
          <w:spacing w:val="-2"/>
        </w:rPr>
        <w:t xml:space="preserve"> non-identifiable </w:t>
      </w:r>
      <w:r w:rsidRPr="00A67B9E">
        <w:rPr>
          <w:rFonts w:cs="Arial"/>
          <w:b/>
          <w:bCs/>
          <w:spacing w:val="-5"/>
        </w:rPr>
        <w:t>patient information</w:t>
      </w:r>
    </w:p>
    <w:p w:rsidR="002161D0" w:rsidRPr="00A67B9E" w:rsidRDefault="002161D0" w:rsidP="00A67B9E">
      <w:pPr>
        <w:pStyle w:val="Default"/>
        <w:rPr>
          <w:sz w:val="22"/>
          <w:szCs w:val="22"/>
        </w:rPr>
      </w:pPr>
      <w:r w:rsidRPr="00A67B9E">
        <w:rPr>
          <w:sz w:val="22"/>
          <w:szCs w:val="22"/>
        </w:rPr>
        <w:t xml:space="preserve"> </w:t>
      </w:r>
    </w:p>
    <w:p w:rsidR="006C6371" w:rsidRPr="00A67B9E" w:rsidRDefault="006C6371" w:rsidP="00A67B9E">
      <w:pPr>
        <w:pStyle w:val="ListParagraph"/>
        <w:widowControl w:val="0"/>
        <w:numPr>
          <w:ilvl w:val="0"/>
          <w:numId w:val="4"/>
        </w:numPr>
        <w:tabs>
          <w:tab w:val="left" w:pos="716"/>
        </w:tabs>
        <w:autoSpaceDE w:val="0"/>
        <w:autoSpaceDN w:val="0"/>
        <w:adjustRightInd w:val="0"/>
        <w:spacing w:line="275" w:lineRule="exact"/>
        <w:rPr>
          <w:rFonts w:cs="Arial"/>
        </w:rPr>
      </w:pPr>
      <w:r w:rsidRPr="00A67B9E">
        <w:rPr>
          <w:rFonts w:cs="Arial"/>
          <w:spacing w:val="-5"/>
        </w:rPr>
        <w:t xml:space="preserve">Provider organisation </w:t>
      </w:r>
    </w:p>
    <w:p w:rsidR="006C6371" w:rsidRPr="00A67B9E" w:rsidRDefault="006C6371" w:rsidP="00A67B9E">
      <w:pPr>
        <w:pStyle w:val="ListParagraph"/>
        <w:widowControl w:val="0"/>
        <w:numPr>
          <w:ilvl w:val="0"/>
          <w:numId w:val="4"/>
        </w:numPr>
        <w:tabs>
          <w:tab w:val="left" w:pos="716"/>
        </w:tabs>
        <w:autoSpaceDE w:val="0"/>
        <w:autoSpaceDN w:val="0"/>
        <w:adjustRightInd w:val="0"/>
        <w:spacing w:line="275" w:lineRule="exact"/>
        <w:rPr>
          <w:rFonts w:cs="Arial"/>
        </w:rPr>
      </w:pPr>
      <w:r w:rsidRPr="00A67B9E">
        <w:rPr>
          <w:rFonts w:cs="Arial"/>
          <w:spacing w:val="-4"/>
        </w:rPr>
        <w:t xml:space="preserve">Host commissioning organisation </w:t>
      </w:r>
    </w:p>
    <w:p w:rsidR="006C6371" w:rsidRPr="00A67B9E" w:rsidRDefault="006C6371" w:rsidP="00A67B9E">
      <w:pPr>
        <w:pStyle w:val="ListParagraph"/>
        <w:widowControl w:val="0"/>
        <w:numPr>
          <w:ilvl w:val="0"/>
          <w:numId w:val="4"/>
        </w:numPr>
        <w:tabs>
          <w:tab w:val="left" w:pos="716"/>
        </w:tabs>
        <w:autoSpaceDE w:val="0"/>
        <w:autoSpaceDN w:val="0"/>
        <w:adjustRightInd w:val="0"/>
        <w:spacing w:line="276" w:lineRule="exact"/>
        <w:rPr>
          <w:rFonts w:cs="Arial"/>
        </w:rPr>
      </w:pPr>
      <w:r w:rsidRPr="00A67B9E">
        <w:rPr>
          <w:rFonts w:cs="Arial"/>
          <w:spacing w:val="-3"/>
        </w:rPr>
        <w:t xml:space="preserve">Patient lower super output area (LSOA) code of residence </w:t>
      </w:r>
      <w:r w:rsidR="00A67B9E" w:rsidRPr="00A67B9E">
        <w:rPr>
          <w:rFonts w:cs="Arial"/>
          <w:spacing w:val="-3"/>
        </w:rPr>
        <w:t xml:space="preserve">or </w:t>
      </w:r>
      <w:r w:rsidR="00A67B9E" w:rsidRPr="00A67B9E">
        <w:rPr>
          <w:rFonts w:cs="Arial"/>
        </w:rPr>
        <w:t>first part plus first digit of second part of patient postcode</w:t>
      </w:r>
    </w:p>
    <w:p w:rsidR="006C6371" w:rsidRPr="00A67B9E" w:rsidRDefault="006C6371" w:rsidP="00A67B9E">
      <w:pPr>
        <w:pStyle w:val="ListParagraph"/>
        <w:widowControl w:val="0"/>
        <w:numPr>
          <w:ilvl w:val="0"/>
          <w:numId w:val="4"/>
        </w:numPr>
        <w:tabs>
          <w:tab w:val="left" w:pos="716"/>
        </w:tabs>
        <w:autoSpaceDE w:val="0"/>
        <w:autoSpaceDN w:val="0"/>
        <w:adjustRightInd w:val="0"/>
        <w:spacing w:line="275" w:lineRule="exact"/>
        <w:rPr>
          <w:rFonts w:cs="Arial"/>
        </w:rPr>
      </w:pPr>
      <w:r w:rsidRPr="00A67B9E">
        <w:rPr>
          <w:rFonts w:cs="Arial"/>
          <w:spacing w:val="-4"/>
        </w:rPr>
        <w:t xml:space="preserve">Sexual health clinic name </w:t>
      </w:r>
      <w:r w:rsidR="0040207F" w:rsidRPr="00A67B9E">
        <w:rPr>
          <w:rFonts w:cs="Arial"/>
          <w:spacing w:val="-4"/>
        </w:rPr>
        <w:t>and</w:t>
      </w:r>
      <w:r w:rsidR="00F534A5" w:rsidRPr="00A67B9E">
        <w:rPr>
          <w:rFonts w:cs="Arial"/>
          <w:spacing w:val="-4"/>
        </w:rPr>
        <w:t xml:space="preserve"> </w:t>
      </w:r>
      <w:r w:rsidR="0040207F" w:rsidRPr="00A67B9E">
        <w:rPr>
          <w:rFonts w:cs="Arial"/>
          <w:spacing w:val="-4"/>
        </w:rPr>
        <w:t>a note if a</w:t>
      </w:r>
      <w:r w:rsidR="00F534A5" w:rsidRPr="00A67B9E">
        <w:rPr>
          <w:rFonts w:cs="Arial"/>
          <w:spacing w:val="-4"/>
        </w:rPr>
        <w:t xml:space="preserve"> clinic / service changes</w:t>
      </w:r>
      <w:r w:rsidR="0040207F" w:rsidRPr="00A67B9E">
        <w:rPr>
          <w:rFonts w:cs="Arial"/>
          <w:spacing w:val="-4"/>
        </w:rPr>
        <w:t xml:space="preserve"> name change as part of a retendering exercise</w:t>
      </w:r>
    </w:p>
    <w:p w:rsidR="006C6371" w:rsidRPr="00A67B9E" w:rsidRDefault="006C6371" w:rsidP="00A67B9E">
      <w:pPr>
        <w:pStyle w:val="ListParagraph"/>
        <w:widowControl w:val="0"/>
        <w:numPr>
          <w:ilvl w:val="0"/>
          <w:numId w:val="4"/>
        </w:numPr>
        <w:tabs>
          <w:tab w:val="left" w:pos="716"/>
        </w:tabs>
        <w:autoSpaceDE w:val="0"/>
        <w:autoSpaceDN w:val="0"/>
        <w:adjustRightInd w:val="0"/>
        <w:spacing w:line="276" w:lineRule="exact"/>
        <w:rPr>
          <w:rFonts w:cs="Arial"/>
        </w:rPr>
      </w:pPr>
      <w:r w:rsidRPr="00A67B9E">
        <w:rPr>
          <w:rFonts w:cs="Arial"/>
          <w:spacing w:val="-4"/>
        </w:rPr>
        <w:t xml:space="preserve">Attendance/intervention date </w:t>
      </w:r>
    </w:p>
    <w:p w:rsidR="006C6371" w:rsidRPr="00A67B9E" w:rsidRDefault="006C6371" w:rsidP="00A67B9E">
      <w:pPr>
        <w:pStyle w:val="ListParagraph"/>
        <w:widowControl w:val="0"/>
        <w:numPr>
          <w:ilvl w:val="0"/>
          <w:numId w:val="4"/>
        </w:numPr>
        <w:tabs>
          <w:tab w:val="left" w:pos="716"/>
        </w:tabs>
        <w:autoSpaceDE w:val="0"/>
        <w:autoSpaceDN w:val="0"/>
        <w:adjustRightInd w:val="0"/>
        <w:spacing w:line="275" w:lineRule="exact"/>
        <w:rPr>
          <w:rFonts w:cs="Arial"/>
        </w:rPr>
      </w:pPr>
      <w:r w:rsidRPr="00A67B9E">
        <w:rPr>
          <w:rFonts w:cs="Arial"/>
          <w:spacing w:val="-2"/>
        </w:rPr>
        <w:t xml:space="preserve">Attendance type for example; GUM first appointment, GUM follow up or integrated tariff </w:t>
      </w:r>
      <w:r w:rsidRPr="00A67B9E">
        <w:rPr>
          <w:rFonts w:cs="Arial"/>
          <w:spacing w:val="-8"/>
        </w:rPr>
        <w:t xml:space="preserve">descriptor (Pathway Analytics or locally developed integrated tariff) </w:t>
      </w:r>
      <w:r w:rsidR="00EE072D">
        <w:rPr>
          <w:rFonts w:cs="Arial"/>
          <w:spacing w:val="-8"/>
        </w:rPr>
        <w:t>*</w:t>
      </w:r>
    </w:p>
    <w:p w:rsidR="001315E3" w:rsidRPr="00A67B9E" w:rsidRDefault="001315E3" w:rsidP="00A67B9E">
      <w:pPr>
        <w:pStyle w:val="ListParagraph"/>
        <w:widowControl w:val="0"/>
        <w:numPr>
          <w:ilvl w:val="0"/>
          <w:numId w:val="4"/>
        </w:numPr>
        <w:tabs>
          <w:tab w:val="left" w:pos="716"/>
        </w:tabs>
        <w:autoSpaceDE w:val="0"/>
        <w:autoSpaceDN w:val="0"/>
        <w:adjustRightInd w:val="0"/>
        <w:spacing w:line="275" w:lineRule="exact"/>
        <w:rPr>
          <w:rFonts w:cs="Arial"/>
        </w:rPr>
      </w:pPr>
      <w:r w:rsidRPr="00A67B9E">
        <w:rPr>
          <w:rFonts w:cs="Arial"/>
          <w:spacing w:val="-8"/>
        </w:rPr>
        <w:t>Where a local integrated tariff is used, Providers must supply a key</w:t>
      </w:r>
    </w:p>
    <w:p w:rsidR="001315E3" w:rsidRPr="00A67B9E" w:rsidRDefault="00B93010" w:rsidP="00A67B9E">
      <w:pPr>
        <w:pStyle w:val="ListParagraph"/>
        <w:widowControl w:val="0"/>
        <w:numPr>
          <w:ilvl w:val="0"/>
          <w:numId w:val="4"/>
        </w:numPr>
        <w:tabs>
          <w:tab w:val="left" w:pos="716"/>
        </w:tabs>
        <w:autoSpaceDE w:val="0"/>
        <w:autoSpaceDN w:val="0"/>
        <w:adjustRightInd w:val="0"/>
        <w:spacing w:line="310" w:lineRule="exact"/>
        <w:rPr>
          <w:rFonts w:cs="Arial"/>
        </w:rPr>
      </w:pPr>
      <w:r>
        <w:rPr>
          <w:rFonts w:cs="Arial"/>
          <w:spacing w:val="-3"/>
        </w:rPr>
        <w:t>Mode of service provision (</w:t>
      </w:r>
      <w:r w:rsidR="001315E3" w:rsidRPr="00A67B9E">
        <w:rPr>
          <w:rFonts w:cs="Arial"/>
          <w:spacing w:val="-3"/>
        </w:rPr>
        <w:t>Face to face or remote</w:t>
      </w:r>
      <w:r>
        <w:rPr>
          <w:rFonts w:cs="Arial"/>
          <w:spacing w:val="-3"/>
        </w:rPr>
        <w:t xml:space="preserve"> / digital</w:t>
      </w:r>
      <w:r w:rsidR="001315E3" w:rsidRPr="00A67B9E">
        <w:rPr>
          <w:rFonts w:cs="Arial"/>
          <w:spacing w:val="-3"/>
        </w:rPr>
        <w:t xml:space="preserve"> testing/self-sampling service </w:t>
      </w:r>
      <w:r>
        <w:rPr>
          <w:rFonts w:cs="Arial"/>
          <w:spacing w:val="-3"/>
        </w:rPr>
        <w:t xml:space="preserve">(where there are prior agreements to fund non-face to face services) </w:t>
      </w:r>
    </w:p>
    <w:p w:rsidR="001315E3" w:rsidRPr="00A67B9E" w:rsidRDefault="001315E3" w:rsidP="00A67B9E">
      <w:pPr>
        <w:pStyle w:val="ListParagraph"/>
        <w:widowControl w:val="0"/>
        <w:numPr>
          <w:ilvl w:val="0"/>
          <w:numId w:val="4"/>
        </w:numPr>
        <w:tabs>
          <w:tab w:val="left" w:pos="716"/>
        </w:tabs>
        <w:autoSpaceDE w:val="0"/>
        <w:autoSpaceDN w:val="0"/>
        <w:adjustRightInd w:val="0"/>
        <w:spacing w:line="276" w:lineRule="exact"/>
        <w:rPr>
          <w:rFonts w:cs="Arial"/>
        </w:rPr>
      </w:pPr>
      <w:r w:rsidRPr="00A67B9E">
        <w:rPr>
          <w:rFonts w:cs="Arial"/>
          <w:spacing w:val="-2"/>
        </w:rPr>
        <w:t xml:space="preserve">Relevant SHAPPT codes or unique identifier </w:t>
      </w:r>
      <w:r w:rsidR="004B30B3">
        <w:rPr>
          <w:rFonts w:cs="Arial"/>
          <w:spacing w:val="-2"/>
        </w:rPr>
        <w:t>where these are</w:t>
      </w:r>
      <w:r w:rsidRPr="00A67B9E">
        <w:rPr>
          <w:rFonts w:cs="Arial"/>
          <w:spacing w:val="-2"/>
        </w:rPr>
        <w:t xml:space="preserve"> required by the Local Authority </w:t>
      </w:r>
    </w:p>
    <w:p w:rsidR="001315E3" w:rsidRPr="00A67B9E" w:rsidRDefault="001315E3" w:rsidP="00A67B9E">
      <w:pPr>
        <w:pStyle w:val="ListParagraph"/>
        <w:widowControl w:val="0"/>
        <w:numPr>
          <w:ilvl w:val="0"/>
          <w:numId w:val="4"/>
        </w:numPr>
        <w:tabs>
          <w:tab w:val="left" w:pos="716"/>
        </w:tabs>
        <w:autoSpaceDE w:val="0"/>
        <w:autoSpaceDN w:val="0"/>
        <w:adjustRightInd w:val="0"/>
        <w:spacing w:line="275" w:lineRule="exact"/>
        <w:rPr>
          <w:rFonts w:cs="Arial"/>
          <w:spacing w:val="-3"/>
        </w:rPr>
      </w:pPr>
      <w:r w:rsidRPr="00A67B9E">
        <w:rPr>
          <w:rFonts w:cs="Arial"/>
          <w:spacing w:val="-3"/>
        </w:rPr>
        <w:t xml:space="preserve">Locally agreed tariff up to national non-mandatory GUM tariff </w:t>
      </w:r>
    </w:p>
    <w:p w:rsidR="001315E3" w:rsidRPr="00A67B9E" w:rsidRDefault="001315E3" w:rsidP="00A67B9E">
      <w:pPr>
        <w:widowControl w:val="0"/>
        <w:tabs>
          <w:tab w:val="left" w:pos="716"/>
        </w:tabs>
        <w:autoSpaceDE w:val="0"/>
        <w:autoSpaceDN w:val="0"/>
        <w:adjustRightInd w:val="0"/>
        <w:spacing w:line="275" w:lineRule="exact"/>
        <w:rPr>
          <w:rFonts w:cs="Arial"/>
        </w:rPr>
      </w:pPr>
    </w:p>
    <w:p w:rsidR="00EE072D" w:rsidRPr="00A67B9E" w:rsidRDefault="00EE072D" w:rsidP="00EE072D">
      <w:pPr>
        <w:widowControl w:val="0"/>
        <w:autoSpaceDE w:val="0"/>
        <w:autoSpaceDN w:val="0"/>
        <w:adjustRightInd w:val="0"/>
        <w:spacing w:line="276" w:lineRule="exact"/>
        <w:rPr>
          <w:rFonts w:cs="Arial"/>
        </w:rPr>
      </w:pPr>
      <w:r>
        <w:rPr>
          <w:rFonts w:cs="Arial"/>
        </w:rPr>
        <w:t>*</w:t>
      </w:r>
      <w:r w:rsidRPr="00A67B9E">
        <w:rPr>
          <w:rFonts w:cs="Arial"/>
        </w:rPr>
        <w:t>Integrated Sexual Health Services are</w:t>
      </w:r>
      <w:r>
        <w:rPr>
          <w:rFonts w:cs="Arial"/>
        </w:rPr>
        <w:t xml:space="preserve"> strongly</w:t>
      </w:r>
      <w:r w:rsidRPr="00A67B9E">
        <w:rPr>
          <w:rFonts w:cs="Arial"/>
        </w:rPr>
        <w:t xml:space="preserve"> encouraged to use the Pathway Analytics Integrated Sexual Health Grouper or another similar technology to group and calculate their out of area activity charges for out of area local authorities.</w:t>
      </w:r>
    </w:p>
    <w:p w:rsidR="00EE072D" w:rsidRDefault="00EE072D" w:rsidP="00A67B9E">
      <w:pPr>
        <w:widowControl w:val="0"/>
        <w:autoSpaceDE w:val="0"/>
        <w:autoSpaceDN w:val="0"/>
        <w:adjustRightInd w:val="0"/>
        <w:spacing w:line="240" w:lineRule="exact"/>
        <w:rPr>
          <w:rFonts w:cs="Arial"/>
          <w:spacing w:val="-2"/>
        </w:rPr>
      </w:pPr>
    </w:p>
    <w:p w:rsidR="001315E3" w:rsidRPr="00A67B9E" w:rsidRDefault="001315E3" w:rsidP="00A67B9E">
      <w:pPr>
        <w:widowControl w:val="0"/>
        <w:autoSpaceDE w:val="0"/>
        <w:autoSpaceDN w:val="0"/>
        <w:adjustRightInd w:val="0"/>
        <w:spacing w:line="240" w:lineRule="exact"/>
        <w:rPr>
          <w:rFonts w:cs="Arial"/>
        </w:rPr>
      </w:pPr>
      <w:r w:rsidRPr="00A67B9E">
        <w:rPr>
          <w:rFonts w:cs="Arial"/>
          <w:spacing w:val="-2"/>
        </w:rPr>
        <w:t>A backing information template for Provider use is attached at</w:t>
      </w:r>
      <w:r w:rsidRPr="00A67B9E">
        <w:rPr>
          <w:rFonts w:cs="Arial"/>
          <w:b/>
          <w:bCs/>
          <w:spacing w:val="-2"/>
        </w:rPr>
        <w:t xml:space="preserve"> Appendix A</w:t>
      </w:r>
      <w:r w:rsidRPr="00A67B9E">
        <w:rPr>
          <w:rFonts w:cs="Arial"/>
          <w:spacing w:val="-2"/>
        </w:rPr>
        <w:t xml:space="preserve">. </w:t>
      </w:r>
    </w:p>
    <w:p w:rsidR="00EE072D" w:rsidRDefault="00EE072D" w:rsidP="00A67B9E">
      <w:pPr>
        <w:widowControl w:val="0"/>
        <w:autoSpaceDE w:val="0"/>
        <w:autoSpaceDN w:val="0"/>
        <w:adjustRightInd w:val="0"/>
        <w:spacing w:line="275" w:lineRule="exact"/>
        <w:rPr>
          <w:rFonts w:cs="Arial"/>
          <w:spacing w:val="-2"/>
        </w:rPr>
      </w:pPr>
    </w:p>
    <w:p w:rsidR="001315E3" w:rsidRPr="00A67B9E" w:rsidRDefault="001315E3" w:rsidP="00A67B9E">
      <w:pPr>
        <w:widowControl w:val="0"/>
        <w:autoSpaceDE w:val="0"/>
        <w:autoSpaceDN w:val="0"/>
        <w:adjustRightInd w:val="0"/>
        <w:spacing w:line="275" w:lineRule="exact"/>
        <w:rPr>
          <w:rFonts w:cs="Arial"/>
        </w:rPr>
      </w:pPr>
      <w:r w:rsidRPr="00A67B9E">
        <w:rPr>
          <w:rFonts w:cs="Arial"/>
          <w:spacing w:val="-2"/>
        </w:rPr>
        <w:t xml:space="preserve">While this level of information is not patient identifiable, it is sensitive and should </w:t>
      </w:r>
    </w:p>
    <w:p w:rsidR="0050462E" w:rsidRDefault="004B30B3" w:rsidP="00EE072D">
      <w:pPr>
        <w:widowControl w:val="0"/>
        <w:autoSpaceDE w:val="0"/>
        <w:autoSpaceDN w:val="0"/>
        <w:adjustRightInd w:val="0"/>
        <w:spacing w:line="275" w:lineRule="exact"/>
        <w:rPr>
          <w:rFonts w:cs="Arial"/>
        </w:rPr>
      </w:pPr>
      <w:r w:rsidRPr="00A67B9E">
        <w:rPr>
          <w:rFonts w:cs="Arial"/>
          <w:spacing w:val="-2"/>
        </w:rPr>
        <w:t>therefore,</w:t>
      </w:r>
      <w:r w:rsidR="001315E3" w:rsidRPr="00A67B9E">
        <w:rPr>
          <w:rFonts w:cs="Arial"/>
          <w:spacing w:val="-2"/>
        </w:rPr>
        <w:t xml:space="preserve"> only be sent through an appropriately secure means of transfer for example, nhs.net to nhs.net email transfer, or another secure alternative.</w:t>
      </w:r>
      <w:r w:rsidR="00F534A5" w:rsidRPr="00A67B9E">
        <w:rPr>
          <w:rFonts w:cs="Arial"/>
          <w:spacing w:val="-2"/>
        </w:rPr>
        <w:t xml:space="preserve">, </w:t>
      </w:r>
      <w:r w:rsidR="00F534A5" w:rsidRPr="00A67B9E">
        <w:rPr>
          <w:rFonts w:cs="Arial"/>
        </w:rPr>
        <w:t>following IG best practice and guidance</w:t>
      </w:r>
      <w:r w:rsidR="00B93010">
        <w:rPr>
          <w:rStyle w:val="FootnoteReference"/>
          <w:rFonts w:cs="Arial"/>
        </w:rPr>
        <w:footnoteReference w:id="4"/>
      </w:r>
      <w:r w:rsidR="00F534A5" w:rsidRPr="00A67B9E">
        <w:rPr>
          <w:rFonts w:cs="Arial"/>
        </w:rPr>
        <w:t>.</w:t>
      </w:r>
      <w:r w:rsidR="00A67B9E">
        <w:rPr>
          <w:rFonts w:cs="Arial"/>
        </w:rPr>
        <w:t xml:space="preserve"> </w:t>
      </w:r>
      <w:r w:rsidR="00A67B9E" w:rsidRPr="00A67B9E">
        <w:rPr>
          <w:rFonts w:cs="Arial"/>
        </w:rPr>
        <w:t xml:space="preserve"> </w:t>
      </w:r>
    </w:p>
    <w:p w:rsidR="005A2014" w:rsidRPr="00A67B9E" w:rsidRDefault="005A2014" w:rsidP="00EE072D">
      <w:pPr>
        <w:widowControl w:val="0"/>
        <w:autoSpaceDE w:val="0"/>
        <w:autoSpaceDN w:val="0"/>
        <w:adjustRightInd w:val="0"/>
        <w:spacing w:line="275" w:lineRule="exact"/>
        <w:rPr>
          <w:rFonts w:cs="Arial"/>
        </w:rPr>
      </w:pPr>
    </w:p>
    <w:p w:rsidR="001315E3" w:rsidRPr="00EE072D" w:rsidRDefault="00EE072D" w:rsidP="00EE072D">
      <w:pPr>
        <w:pStyle w:val="ListParagraph"/>
        <w:widowControl w:val="0"/>
        <w:numPr>
          <w:ilvl w:val="1"/>
          <w:numId w:val="1"/>
        </w:numPr>
        <w:autoSpaceDE w:val="0"/>
        <w:autoSpaceDN w:val="0"/>
        <w:adjustRightInd w:val="0"/>
        <w:spacing w:line="275" w:lineRule="exact"/>
        <w:rPr>
          <w:rFonts w:cs="Arial"/>
        </w:rPr>
      </w:pPr>
      <w:r>
        <w:rPr>
          <w:rFonts w:cs="Arial"/>
          <w:spacing w:val="-2"/>
        </w:rPr>
        <w:t xml:space="preserve"> </w:t>
      </w:r>
      <w:r w:rsidR="001315E3" w:rsidRPr="00EE072D">
        <w:rPr>
          <w:rFonts w:cs="Arial"/>
          <w:spacing w:val="-2"/>
        </w:rPr>
        <w:t xml:space="preserve">All Local Authorities expect invoices (supported by backing data to the </w:t>
      </w:r>
      <w:r w:rsidR="001315E3" w:rsidRPr="00EE072D">
        <w:rPr>
          <w:rFonts w:cs="Arial"/>
          <w:spacing w:val="-1"/>
        </w:rPr>
        <w:t xml:space="preserve">minimum data set above), to be submitted </w:t>
      </w:r>
      <w:r w:rsidR="00337F3F" w:rsidRPr="00EE072D">
        <w:rPr>
          <w:rFonts w:cs="Arial"/>
          <w:spacing w:val="-1"/>
        </w:rPr>
        <w:t>monthly</w:t>
      </w:r>
      <w:r w:rsidR="0050462E" w:rsidRPr="00EE072D">
        <w:rPr>
          <w:rFonts w:cs="Arial"/>
          <w:spacing w:val="-1"/>
        </w:rPr>
        <w:t xml:space="preserve"> </w:t>
      </w:r>
      <w:r w:rsidR="001315E3" w:rsidRPr="00EE072D">
        <w:rPr>
          <w:rFonts w:cs="Arial"/>
          <w:spacing w:val="-1"/>
        </w:rPr>
        <w:t xml:space="preserve">within 30 days of attendance. Local </w:t>
      </w:r>
      <w:r w:rsidR="001315E3" w:rsidRPr="00EE072D">
        <w:rPr>
          <w:rFonts w:cs="Arial"/>
          <w:spacing w:val="-2"/>
        </w:rPr>
        <w:t xml:space="preserve">Authorities </w:t>
      </w:r>
      <w:r w:rsidR="0050462E" w:rsidRPr="00EE072D">
        <w:rPr>
          <w:rFonts w:cs="Arial"/>
          <w:spacing w:val="-2"/>
        </w:rPr>
        <w:t xml:space="preserve">will aim to </w:t>
      </w:r>
      <w:r w:rsidR="001315E3" w:rsidRPr="00EE072D">
        <w:rPr>
          <w:rFonts w:cs="Arial"/>
          <w:spacing w:val="-2"/>
        </w:rPr>
        <w:t xml:space="preserve">ensure </w:t>
      </w:r>
      <w:r w:rsidR="0050462E" w:rsidRPr="00EE072D">
        <w:rPr>
          <w:rFonts w:cs="Arial"/>
          <w:spacing w:val="-2"/>
        </w:rPr>
        <w:t>that</w:t>
      </w:r>
      <w:r w:rsidR="001315E3" w:rsidRPr="00EE072D">
        <w:rPr>
          <w:rFonts w:cs="Arial"/>
          <w:spacing w:val="-2"/>
        </w:rPr>
        <w:t xml:space="preserve"> invoices are paid within 30 days of receipt if they are </w:t>
      </w:r>
      <w:r w:rsidR="001315E3" w:rsidRPr="00EE072D">
        <w:rPr>
          <w:rFonts w:cs="Arial"/>
          <w:spacing w:val="-8"/>
        </w:rPr>
        <w:t>undisputed.</w:t>
      </w:r>
    </w:p>
    <w:p w:rsidR="001315E3" w:rsidRPr="00A67B9E" w:rsidRDefault="001315E3" w:rsidP="00A67B9E">
      <w:pPr>
        <w:widowControl w:val="0"/>
        <w:tabs>
          <w:tab w:val="left" w:pos="716"/>
        </w:tabs>
        <w:autoSpaceDE w:val="0"/>
        <w:autoSpaceDN w:val="0"/>
        <w:adjustRightInd w:val="0"/>
        <w:spacing w:line="275" w:lineRule="exact"/>
        <w:rPr>
          <w:rFonts w:cs="Arial"/>
          <w:spacing w:val="-8"/>
        </w:rPr>
      </w:pPr>
    </w:p>
    <w:p w:rsidR="001315E3" w:rsidRPr="00A67B9E" w:rsidRDefault="005A2014" w:rsidP="00A67B9E">
      <w:pPr>
        <w:pStyle w:val="ListParagraph"/>
        <w:widowControl w:val="0"/>
        <w:numPr>
          <w:ilvl w:val="0"/>
          <w:numId w:val="1"/>
        </w:numPr>
        <w:tabs>
          <w:tab w:val="left" w:pos="716"/>
        </w:tabs>
        <w:autoSpaceDE w:val="0"/>
        <w:autoSpaceDN w:val="0"/>
        <w:adjustRightInd w:val="0"/>
        <w:spacing w:line="275" w:lineRule="exact"/>
        <w:rPr>
          <w:rFonts w:cs="Arial"/>
        </w:rPr>
      </w:pPr>
      <w:r>
        <w:rPr>
          <w:rFonts w:cs="Arial"/>
          <w:b/>
          <w:bCs/>
          <w:spacing w:val="-9"/>
        </w:rPr>
        <w:t>Policy Context</w:t>
      </w:r>
    </w:p>
    <w:p w:rsidR="001C79A7" w:rsidRPr="00A67B9E" w:rsidRDefault="001C79A7" w:rsidP="00A67B9E">
      <w:pPr>
        <w:widowControl w:val="0"/>
        <w:autoSpaceDE w:val="0"/>
        <w:autoSpaceDN w:val="0"/>
        <w:adjustRightInd w:val="0"/>
        <w:spacing w:line="275" w:lineRule="exact"/>
        <w:rPr>
          <w:rFonts w:cs="Arial"/>
          <w:spacing w:val="-3"/>
        </w:rPr>
      </w:pPr>
    </w:p>
    <w:p w:rsidR="001315E3" w:rsidRPr="009934A2" w:rsidRDefault="001315E3" w:rsidP="009934A2">
      <w:pPr>
        <w:pStyle w:val="ListParagraph"/>
        <w:widowControl w:val="0"/>
        <w:numPr>
          <w:ilvl w:val="1"/>
          <w:numId w:val="1"/>
        </w:numPr>
        <w:autoSpaceDE w:val="0"/>
        <w:autoSpaceDN w:val="0"/>
        <w:adjustRightInd w:val="0"/>
        <w:spacing w:line="275" w:lineRule="exact"/>
        <w:rPr>
          <w:rFonts w:cs="Arial"/>
        </w:rPr>
      </w:pPr>
      <w:r w:rsidRPr="009934A2">
        <w:rPr>
          <w:rFonts w:cs="Arial"/>
          <w:spacing w:val="-3"/>
        </w:rPr>
        <w:t xml:space="preserve">Since 1 April 2013, Local Authorities have been mandated to ensure that </w:t>
      </w:r>
      <w:r w:rsidRPr="009934A2">
        <w:rPr>
          <w:rFonts w:cs="Arial"/>
          <w:spacing w:val="-2"/>
        </w:rPr>
        <w:t>comprehensive, open access, confidential sexual health services are available to all people who are present in their area (whether resident in that area or not). The requirement for Genito-Urinary Medicine (GUM) and Contraception and Sexual Health (</w:t>
      </w:r>
      <w:proofErr w:type="spellStart"/>
      <w:r w:rsidRPr="009934A2">
        <w:rPr>
          <w:rFonts w:cs="Arial"/>
          <w:spacing w:val="-2"/>
        </w:rPr>
        <w:t>CaSH</w:t>
      </w:r>
      <w:proofErr w:type="spellEnd"/>
      <w:r w:rsidRPr="009934A2">
        <w:rPr>
          <w:rFonts w:cs="Arial"/>
          <w:spacing w:val="-2"/>
        </w:rPr>
        <w:t xml:space="preserve">) services to be provided on an open access basis is stipulated in the </w:t>
      </w:r>
      <w:r w:rsidRPr="009934A2">
        <w:rPr>
          <w:rFonts w:cs="Arial"/>
          <w:i/>
          <w:iCs/>
          <w:spacing w:val="-2"/>
        </w:rPr>
        <w:t xml:space="preserve">Local Authorities (Public Health Functions and Entry to Premises by Local </w:t>
      </w:r>
      <w:r w:rsidRPr="009934A2">
        <w:rPr>
          <w:rFonts w:cs="Arial"/>
          <w:i/>
          <w:iCs/>
          <w:spacing w:val="-5"/>
        </w:rPr>
        <w:t>Healthwatch Representatives) Regulations 2013</w:t>
      </w:r>
      <w:r w:rsidRPr="009934A2">
        <w:rPr>
          <w:rFonts w:cs="Arial"/>
          <w:spacing w:val="-5"/>
        </w:rPr>
        <w:t xml:space="preserve"> ("the Regulations") - see</w:t>
      </w:r>
      <w:r w:rsidRPr="009934A2">
        <w:rPr>
          <w:rFonts w:cs="Arial"/>
          <w:b/>
          <w:bCs/>
          <w:spacing w:val="-5"/>
        </w:rPr>
        <w:t xml:space="preserve"> Appendix </w:t>
      </w:r>
      <w:r w:rsidRPr="009934A2">
        <w:rPr>
          <w:rFonts w:cs="Arial"/>
          <w:b/>
          <w:bCs/>
          <w:spacing w:val="-28"/>
        </w:rPr>
        <w:t xml:space="preserve">B. </w:t>
      </w:r>
    </w:p>
    <w:p w:rsidR="001315E3" w:rsidRPr="00A67B9E" w:rsidRDefault="001315E3" w:rsidP="00A67B9E">
      <w:pPr>
        <w:widowControl w:val="0"/>
        <w:autoSpaceDE w:val="0"/>
        <w:autoSpaceDN w:val="0"/>
        <w:adjustRightInd w:val="0"/>
        <w:spacing w:line="276" w:lineRule="exact"/>
        <w:rPr>
          <w:rFonts w:cs="Arial"/>
        </w:rPr>
      </w:pPr>
    </w:p>
    <w:p w:rsidR="001315E3" w:rsidRPr="009934A2" w:rsidRDefault="001315E3" w:rsidP="009934A2">
      <w:pPr>
        <w:pStyle w:val="ListParagraph"/>
        <w:widowControl w:val="0"/>
        <w:numPr>
          <w:ilvl w:val="1"/>
          <w:numId w:val="1"/>
        </w:numPr>
        <w:autoSpaceDE w:val="0"/>
        <w:autoSpaceDN w:val="0"/>
        <w:adjustRightInd w:val="0"/>
        <w:spacing w:line="276" w:lineRule="exact"/>
        <w:rPr>
          <w:rFonts w:cs="Arial"/>
        </w:rPr>
      </w:pPr>
      <w:r w:rsidRPr="009934A2">
        <w:rPr>
          <w:rFonts w:cs="Arial"/>
          <w:spacing w:val="-2"/>
        </w:rPr>
        <w:t xml:space="preserve">It is acknowledged that </w:t>
      </w:r>
      <w:r w:rsidR="00337F3F" w:rsidRPr="009934A2">
        <w:rPr>
          <w:rFonts w:cs="Arial"/>
          <w:spacing w:val="-2"/>
        </w:rPr>
        <w:t>deterring</w:t>
      </w:r>
      <w:r w:rsidRPr="009934A2">
        <w:rPr>
          <w:rFonts w:cs="Arial"/>
          <w:spacing w:val="-2"/>
        </w:rPr>
        <w:t xml:space="preserve"> people from attending open access sexual health </w:t>
      </w:r>
      <w:r w:rsidR="00337F3F" w:rsidRPr="009934A2">
        <w:rPr>
          <w:rFonts w:cs="Arial"/>
          <w:spacing w:val="-2"/>
        </w:rPr>
        <w:t xml:space="preserve">services, </w:t>
      </w:r>
      <w:r w:rsidR="009934A2" w:rsidRPr="009934A2">
        <w:rPr>
          <w:rFonts w:cs="Arial"/>
          <w:spacing w:val="-2"/>
        </w:rPr>
        <w:t>e.g.</w:t>
      </w:r>
      <w:r w:rsidRPr="009934A2">
        <w:rPr>
          <w:rFonts w:cs="Arial"/>
          <w:spacing w:val="-2"/>
        </w:rPr>
        <w:t xml:space="preserve">, in relation to the provision of emergency contraception to address unintended </w:t>
      </w:r>
      <w:r w:rsidRPr="009934A2">
        <w:rPr>
          <w:rFonts w:cs="Arial"/>
          <w:spacing w:val="-1"/>
        </w:rPr>
        <w:t>pregnancy and for those at risk of sexual exploitation</w:t>
      </w:r>
      <w:r w:rsidR="00337F3F" w:rsidRPr="009934A2">
        <w:rPr>
          <w:rFonts w:cs="Arial"/>
          <w:spacing w:val="-1"/>
        </w:rPr>
        <w:t xml:space="preserve"> </w:t>
      </w:r>
      <w:r w:rsidR="00EE072D" w:rsidRPr="009934A2">
        <w:rPr>
          <w:rFonts w:cs="Arial"/>
          <w:spacing w:val="-1"/>
        </w:rPr>
        <w:t>presents a high level of risk to the individual</w:t>
      </w:r>
      <w:r w:rsidRPr="009934A2">
        <w:rPr>
          <w:rFonts w:cs="Arial"/>
          <w:spacing w:val="-1"/>
        </w:rPr>
        <w:t xml:space="preserve">. Any restriction in access to </w:t>
      </w:r>
      <w:r w:rsidR="00BF3801" w:rsidRPr="009934A2">
        <w:rPr>
          <w:rFonts w:cs="Arial"/>
          <w:spacing w:val="-2"/>
        </w:rPr>
        <w:t>core reproductive and sexual health services</w:t>
      </w:r>
      <w:r w:rsidRPr="009934A2">
        <w:rPr>
          <w:rFonts w:cs="Arial"/>
          <w:spacing w:val="-2"/>
        </w:rPr>
        <w:t xml:space="preserve"> carries a high reputational risk for Local Authorities</w:t>
      </w:r>
      <w:r w:rsidR="00BF3801" w:rsidRPr="009934A2">
        <w:rPr>
          <w:rFonts w:cs="Arial"/>
          <w:spacing w:val="-2"/>
        </w:rPr>
        <w:t>.</w:t>
      </w:r>
    </w:p>
    <w:p w:rsidR="001315E3" w:rsidRPr="00A67B9E" w:rsidRDefault="001315E3" w:rsidP="00A67B9E">
      <w:pPr>
        <w:widowControl w:val="0"/>
        <w:autoSpaceDE w:val="0"/>
        <w:autoSpaceDN w:val="0"/>
        <w:adjustRightInd w:val="0"/>
        <w:spacing w:line="276" w:lineRule="exact"/>
        <w:rPr>
          <w:rFonts w:cs="Arial"/>
        </w:rPr>
      </w:pPr>
    </w:p>
    <w:p w:rsidR="001315E3" w:rsidRPr="009934A2" w:rsidRDefault="001315E3" w:rsidP="009934A2">
      <w:pPr>
        <w:pStyle w:val="ListParagraph"/>
        <w:widowControl w:val="0"/>
        <w:numPr>
          <w:ilvl w:val="1"/>
          <w:numId w:val="1"/>
        </w:numPr>
        <w:autoSpaceDE w:val="0"/>
        <w:autoSpaceDN w:val="0"/>
        <w:adjustRightInd w:val="0"/>
        <w:spacing w:line="275" w:lineRule="exact"/>
        <w:rPr>
          <w:rFonts w:cs="Arial"/>
        </w:rPr>
      </w:pPr>
      <w:r w:rsidRPr="009934A2">
        <w:rPr>
          <w:rFonts w:cs="Arial"/>
          <w:spacing w:val="-2"/>
        </w:rPr>
        <w:t>With the transfer of services over to Local Authorities, the DH issued guidance on cross charging in August 2013</w:t>
      </w:r>
      <w:r w:rsidR="00937EFF" w:rsidRPr="009934A2">
        <w:rPr>
          <w:rFonts w:cs="Arial"/>
          <w:spacing w:val="-2"/>
        </w:rPr>
        <w:t xml:space="preserve"> (updated in 2018)</w:t>
      </w:r>
      <w:r w:rsidRPr="009934A2">
        <w:rPr>
          <w:rFonts w:cs="Arial"/>
          <w:spacing w:val="-2"/>
        </w:rPr>
        <w:t xml:space="preserve"> outlining principles for Local Authorities to make </w:t>
      </w:r>
      <w:r w:rsidRPr="009934A2">
        <w:rPr>
          <w:rFonts w:cs="Arial"/>
        </w:rPr>
        <w:t xml:space="preserve">payment for residents accessing services outside the area. The guidance suggests </w:t>
      </w:r>
      <w:r w:rsidRPr="009934A2">
        <w:rPr>
          <w:rFonts w:cs="Arial"/>
          <w:spacing w:val="-2"/>
        </w:rPr>
        <w:t xml:space="preserve">that it is for local determination how these arrangements work and solutions that meet the needs of local areas and populations should be in place. It was developed to encourage a consistent, equitable, fair and transparent approach to cross charging and billing for out of area service users, from both a Commissioner </w:t>
      </w:r>
      <w:r w:rsidRPr="009934A2">
        <w:rPr>
          <w:rFonts w:cs="Arial"/>
          <w:spacing w:val="-4"/>
        </w:rPr>
        <w:t xml:space="preserve">and Provider perspective. </w:t>
      </w:r>
    </w:p>
    <w:p w:rsidR="001315E3" w:rsidRPr="00A67B9E" w:rsidRDefault="001315E3" w:rsidP="00A67B9E">
      <w:pPr>
        <w:widowControl w:val="0"/>
        <w:autoSpaceDE w:val="0"/>
        <w:autoSpaceDN w:val="0"/>
        <w:adjustRightInd w:val="0"/>
        <w:spacing w:line="276" w:lineRule="exact"/>
        <w:rPr>
          <w:rFonts w:cs="Arial"/>
        </w:rPr>
      </w:pPr>
    </w:p>
    <w:p w:rsidR="00937EFF" w:rsidRPr="009934A2" w:rsidRDefault="00937EFF" w:rsidP="009934A2">
      <w:pPr>
        <w:pStyle w:val="ListParagraph"/>
        <w:widowControl w:val="0"/>
        <w:numPr>
          <w:ilvl w:val="1"/>
          <w:numId w:val="1"/>
        </w:numPr>
        <w:autoSpaceDE w:val="0"/>
        <w:autoSpaceDN w:val="0"/>
        <w:adjustRightInd w:val="0"/>
        <w:spacing w:line="270" w:lineRule="exact"/>
        <w:rPr>
          <w:rFonts w:cs="Arial"/>
          <w:spacing w:val="-4"/>
        </w:rPr>
      </w:pPr>
      <w:r w:rsidRPr="009934A2">
        <w:rPr>
          <w:rFonts w:cs="Arial"/>
          <w:spacing w:val="-4"/>
        </w:rPr>
        <w:t>Re-charging by the provider for the costs of GUM services for testing, treatment and care for STIs, back to the area where the user is normally resident has been in place for many years and prior to the transfer of sexual health commissioning to local authorities in 2013. A mandatory NHS tariff was in place for GUM services prior to transition which became non-mandatory for local authorities. The last published NHS tariff was in</w:t>
      </w:r>
      <w:r w:rsidRPr="009934A2">
        <w:rPr>
          <w:rFonts w:cs="Arial"/>
        </w:rPr>
        <w:t xml:space="preserve"> </w:t>
      </w:r>
      <w:r w:rsidRPr="009934A2">
        <w:rPr>
          <w:rFonts w:cs="Arial"/>
          <w:spacing w:val="-4"/>
        </w:rPr>
        <w:t>2015/16 and was set as £131 for a multi-professional first attendance and £103 for a multi-professional follow up attendance. Payment of a Market Force Factor (MFF) used in the NHS tariff, is NOT mandatory for local authorities.</w:t>
      </w:r>
    </w:p>
    <w:p w:rsidR="00937EFF" w:rsidRPr="00A67B9E" w:rsidRDefault="00937EFF" w:rsidP="00A67B9E">
      <w:pPr>
        <w:widowControl w:val="0"/>
        <w:autoSpaceDE w:val="0"/>
        <w:autoSpaceDN w:val="0"/>
        <w:adjustRightInd w:val="0"/>
        <w:spacing w:line="270" w:lineRule="exact"/>
        <w:rPr>
          <w:rFonts w:cs="Arial"/>
          <w:spacing w:val="-4"/>
        </w:rPr>
      </w:pPr>
    </w:p>
    <w:p w:rsidR="00937EFF" w:rsidRPr="00A67B9E" w:rsidRDefault="00937EFF" w:rsidP="00A67B9E">
      <w:pPr>
        <w:widowControl w:val="0"/>
        <w:autoSpaceDE w:val="0"/>
        <w:autoSpaceDN w:val="0"/>
        <w:adjustRightInd w:val="0"/>
        <w:spacing w:line="270" w:lineRule="exact"/>
        <w:rPr>
          <w:rFonts w:cs="Arial"/>
          <w:spacing w:val="-4"/>
        </w:rPr>
      </w:pPr>
    </w:p>
    <w:p w:rsidR="00937EFF" w:rsidRPr="009934A2" w:rsidRDefault="00937EFF" w:rsidP="009934A2">
      <w:pPr>
        <w:pStyle w:val="ListParagraph"/>
        <w:widowControl w:val="0"/>
        <w:numPr>
          <w:ilvl w:val="1"/>
          <w:numId w:val="1"/>
        </w:numPr>
        <w:autoSpaceDE w:val="0"/>
        <w:autoSpaceDN w:val="0"/>
        <w:adjustRightInd w:val="0"/>
        <w:spacing w:line="270" w:lineRule="exact"/>
        <w:rPr>
          <w:rFonts w:cs="Arial"/>
          <w:spacing w:val="-4"/>
        </w:rPr>
      </w:pPr>
      <w:r w:rsidRPr="009934A2">
        <w:rPr>
          <w:rFonts w:cs="Arial"/>
          <w:spacing w:val="-4"/>
        </w:rPr>
        <w:t>Traditionally, cross-charging arrangements have not been in place for attendances at sexual and reproductive health services for contraception care and these costs have generally been absorbed by the host commissioner for contraception.</w:t>
      </w:r>
    </w:p>
    <w:p w:rsidR="00937EFF" w:rsidRPr="00A67B9E" w:rsidRDefault="00937EFF" w:rsidP="00A67B9E">
      <w:pPr>
        <w:widowControl w:val="0"/>
        <w:autoSpaceDE w:val="0"/>
        <w:autoSpaceDN w:val="0"/>
        <w:adjustRightInd w:val="0"/>
        <w:spacing w:line="270" w:lineRule="exact"/>
        <w:rPr>
          <w:rFonts w:cs="Arial"/>
          <w:spacing w:val="-4"/>
        </w:rPr>
      </w:pPr>
    </w:p>
    <w:p w:rsidR="00937EFF" w:rsidRPr="009934A2" w:rsidRDefault="00937EFF" w:rsidP="009934A2">
      <w:pPr>
        <w:pStyle w:val="ListParagraph"/>
        <w:widowControl w:val="0"/>
        <w:numPr>
          <w:ilvl w:val="1"/>
          <w:numId w:val="1"/>
        </w:numPr>
        <w:autoSpaceDE w:val="0"/>
        <w:autoSpaceDN w:val="0"/>
        <w:adjustRightInd w:val="0"/>
        <w:spacing w:line="270" w:lineRule="exact"/>
        <w:rPr>
          <w:rFonts w:cs="Arial"/>
          <w:spacing w:val="-4"/>
        </w:rPr>
      </w:pPr>
      <w:r w:rsidRPr="009934A2">
        <w:rPr>
          <w:rFonts w:cs="Arial"/>
          <w:spacing w:val="-4"/>
        </w:rPr>
        <w:t>Commissioning arrangements for contraception are also more complex given user dependent methods of contraception are primarily supplied by general practice as part of General Medical Service (GMS) contracts with NHS England (in some areas this has been devolved to CCGs) and the provision of long acting methods of reversible contraception (LARC excluding injectable contraception) are primarily commissioned by Local Authorities via general practice and specialist sexual and reproductive health services. The majority of contraception care (around 80%) continues to be provided by general practice across England and they have a significant role to play in terms of reproductive health across the life course</w:t>
      </w:r>
    </w:p>
    <w:p w:rsidR="00937EFF" w:rsidRPr="00A67B9E" w:rsidRDefault="00937EFF" w:rsidP="00A67B9E">
      <w:pPr>
        <w:widowControl w:val="0"/>
        <w:autoSpaceDE w:val="0"/>
        <w:autoSpaceDN w:val="0"/>
        <w:adjustRightInd w:val="0"/>
        <w:spacing w:line="270" w:lineRule="exact"/>
        <w:rPr>
          <w:rFonts w:cs="Arial"/>
        </w:rPr>
      </w:pPr>
    </w:p>
    <w:p w:rsidR="001315E3" w:rsidRPr="00A67B9E" w:rsidRDefault="001315E3" w:rsidP="00A67B9E">
      <w:pPr>
        <w:widowControl w:val="0"/>
        <w:autoSpaceDE w:val="0"/>
        <w:autoSpaceDN w:val="0"/>
        <w:adjustRightInd w:val="0"/>
        <w:spacing w:line="240" w:lineRule="exact"/>
        <w:rPr>
          <w:rFonts w:cs="Arial"/>
        </w:rPr>
      </w:pPr>
    </w:p>
    <w:p w:rsidR="001315E3" w:rsidRPr="009934A2" w:rsidRDefault="001315E3" w:rsidP="009934A2">
      <w:pPr>
        <w:pStyle w:val="ListParagraph"/>
        <w:widowControl w:val="0"/>
        <w:numPr>
          <w:ilvl w:val="1"/>
          <w:numId w:val="1"/>
        </w:numPr>
        <w:autoSpaceDE w:val="0"/>
        <w:autoSpaceDN w:val="0"/>
        <w:adjustRightInd w:val="0"/>
        <w:spacing w:line="276" w:lineRule="exact"/>
        <w:rPr>
          <w:rFonts w:cs="Arial"/>
        </w:rPr>
      </w:pPr>
      <w:r w:rsidRPr="009934A2">
        <w:rPr>
          <w:rFonts w:cs="Arial"/>
          <w:spacing w:val="-2"/>
        </w:rPr>
        <w:t xml:space="preserve">A key development over the last </w:t>
      </w:r>
      <w:r w:rsidR="005B448B" w:rsidRPr="009934A2">
        <w:rPr>
          <w:rFonts w:cs="Arial"/>
          <w:spacing w:val="-2"/>
        </w:rPr>
        <w:t>five</w:t>
      </w:r>
      <w:r w:rsidRPr="009934A2">
        <w:rPr>
          <w:rFonts w:cs="Arial"/>
          <w:spacing w:val="-2"/>
        </w:rPr>
        <w:t xml:space="preserve"> years is that most Local Authorities have now </w:t>
      </w:r>
      <w:r w:rsidR="00B51221" w:rsidRPr="009934A2">
        <w:rPr>
          <w:rFonts w:cs="Arial"/>
          <w:spacing w:val="-2"/>
        </w:rPr>
        <w:t>developed integrated sexual health</w:t>
      </w:r>
      <w:r w:rsidRPr="009934A2">
        <w:rPr>
          <w:rFonts w:cs="Arial"/>
          <w:spacing w:val="-2"/>
        </w:rPr>
        <w:t xml:space="preserve"> services, </w:t>
      </w:r>
      <w:r w:rsidR="00B51221" w:rsidRPr="009934A2">
        <w:rPr>
          <w:rFonts w:cs="Arial"/>
          <w:spacing w:val="-2"/>
        </w:rPr>
        <w:t>providing</w:t>
      </w:r>
      <w:r w:rsidRPr="009934A2">
        <w:rPr>
          <w:rFonts w:cs="Arial"/>
          <w:spacing w:val="-2"/>
        </w:rPr>
        <w:t xml:space="preserve"> </w:t>
      </w:r>
      <w:r w:rsidR="00337F3F" w:rsidRPr="009934A2">
        <w:rPr>
          <w:rFonts w:cs="Arial"/>
          <w:spacing w:val="-2"/>
        </w:rPr>
        <w:t xml:space="preserve">GUM </w:t>
      </w:r>
      <w:r w:rsidR="00B51221" w:rsidRPr="009934A2">
        <w:rPr>
          <w:rFonts w:cs="Arial"/>
          <w:spacing w:val="-2"/>
        </w:rPr>
        <w:t xml:space="preserve">services </w:t>
      </w:r>
      <w:r w:rsidRPr="009934A2">
        <w:rPr>
          <w:rFonts w:cs="Arial"/>
          <w:spacing w:val="-2"/>
        </w:rPr>
        <w:t>and reproductive health</w:t>
      </w:r>
      <w:r w:rsidR="00B51221" w:rsidRPr="009934A2">
        <w:rPr>
          <w:rFonts w:cs="Arial"/>
          <w:spacing w:val="-2"/>
        </w:rPr>
        <w:t xml:space="preserve"> services in one setting</w:t>
      </w:r>
      <w:r w:rsidR="004C06B8" w:rsidRPr="009934A2">
        <w:rPr>
          <w:rFonts w:cs="Arial"/>
          <w:spacing w:val="-2"/>
        </w:rPr>
        <w:t xml:space="preserve"> and in some places, one appointment</w:t>
      </w:r>
      <w:r w:rsidR="00B51221" w:rsidRPr="009934A2">
        <w:rPr>
          <w:rFonts w:cs="Arial"/>
          <w:spacing w:val="-2"/>
        </w:rPr>
        <w:t xml:space="preserve"> </w:t>
      </w:r>
    </w:p>
    <w:p w:rsidR="001315E3" w:rsidRPr="00337F3F" w:rsidRDefault="001315E3" w:rsidP="00A67B9E">
      <w:pPr>
        <w:widowControl w:val="0"/>
        <w:autoSpaceDE w:val="0"/>
        <w:autoSpaceDN w:val="0"/>
        <w:adjustRightInd w:val="0"/>
        <w:spacing w:line="276" w:lineRule="exact"/>
        <w:rPr>
          <w:rFonts w:cs="Arial"/>
          <w:spacing w:val="-8"/>
        </w:rPr>
      </w:pPr>
    </w:p>
    <w:p w:rsidR="00937EFF" w:rsidRPr="009934A2" w:rsidRDefault="00937EFF" w:rsidP="009934A2">
      <w:pPr>
        <w:pStyle w:val="ListParagraph"/>
        <w:widowControl w:val="0"/>
        <w:numPr>
          <w:ilvl w:val="1"/>
          <w:numId w:val="1"/>
        </w:numPr>
        <w:autoSpaceDE w:val="0"/>
        <w:autoSpaceDN w:val="0"/>
        <w:adjustRightInd w:val="0"/>
        <w:spacing w:line="276" w:lineRule="exact"/>
        <w:rPr>
          <w:rFonts w:cs="Arial"/>
          <w:spacing w:val="-8"/>
        </w:rPr>
      </w:pPr>
      <w:r w:rsidRPr="009934A2">
        <w:rPr>
          <w:rFonts w:cs="Arial"/>
          <w:spacing w:val="-8"/>
        </w:rPr>
        <w:t>The use of on-line services is increasing and offers an additional service choice with the option of ordering self-testing kits and contraception through the internet. An on-line option is generally offered as an additional service for residents of the local authority commissioning the service only. This is in line with sexual health services commissioned from primary care and existing online options for chlamydia screening and HIV self-sampling which have been established for some time</w:t>
      </w:r>
    </w:p>
    <w:p w:rsidR="00937EFF" w:rsidRPr="00A67B9E" w:rsidRDefault="00937EFF" w:rsidP="00A67B9E">
      <w:pPr>
        <w:widowControl w:val="0"/>
        <w:autoSpaceDE w:val="0"/>
        <w:autoSpaceDN w:val="0"/>
        <w:adjustRightInd w:val="0"/>
        <w:spacing w:line="276" w:lineRule="exact"/>
        <w:rPr>
          <w:rFonts w:cs="Arial"/>
        </w:rPr>
      </w:pPr>
    </w:p>
    <w:p w:rsidR="001315E3" w:rsidRPr="009934A2" w:rsidRDefault="001315E3" w:rsidP="009934A2">
      <w:pPr>
        <w:pStyle w:val="ListParagraph"/>
        <w:widowControl w:val="0"/>
        <w:numPr>
          <w:ilvl w:val="1"/>
          <w:numId w:val="1"/>
        </w:numPr>
        <w:autoSpaceDE w:val="0"/>
        <w:autoSpaceDN w:val="0"/>
        <w:adjustRightInd w:val="0"/>
        <w:spacing w:line="275" w:lineRule="exact"/>
        <w:rPr>
          <w:rFonts w:cs="Arial"/>
          <w:spacing w:val="-2"/>
        </w:rPr>
      </w:pPr>
      <w:r w:rsidRPr="009934A2">
        <w:rPr>
          <w:rFonts w:cs="Arial"/>
          <w:spacing w:val="-2"/>
        </w:rPr>
        <w:t xml:space="preserve">Local Authorities have interpreted cross charging guidance differently and there are </w:t>
      </w:r>
      <w:r w:rsidR="00A359C8" w:rsidRPr="009934A2">
        <w:rPr>
          <w:rFonts w:cs="Arial"/>
          <w:spacing w:val="-1"/>
        </w:rPr>
        <w:t>several</w:t>
      </w:r>
      <w:r w:rsidRPr="009934A2">
        <w:rPr>
          <w:rFonts w:cs="Arial"/>
          <w:spacing w:val="-1"/>
        </w:rPr>
        <w:t xml:space="preserve"> approaches taken. With the increasing lack of a consistent approach </w:t>
      </w:r>
      <w:r w:rsidRPr="009934A2">
        <w:rPr>
          <w:rFonts w:cs="Arial"/>
          <w:spacing w:val="-2"/>
        </w:rPr>
        <w:t xml:space="preserve">across the system, there is a risk to current provision from Local Authorities not </w:t>
      </w:r>
      <w:r w:rsidRPr="009934A2">
        <w:rPr>
          <w:rFonts w:cs="Arial"/>
        </w:rPr>
        <w:t xml:space="preserve">paying for legitimate sexual health activity. Therefore, South East Local Authorities </w:t>
      </w:r>
      <w:r w:rsidRPr="009934A2">
        <w:rPr>
          <w:rFonts w:cs="Arial"/>
          <w:spacing w:val="-2"/>
        </w:rPr>
        <w:t>have agreed to work jointly to ensure a fair and equitable approach, particularly in relation to the changes resulting from the development of a London Sexual Healt</w:t>
      </w:r>
      <w:r w:rsidR="009934A2">
        <w:rPr>
          <w:rFonts w:cs="Arial"/>
          <w:spacing w:val="-2"/>
        </w:rPr>
        <w:t xml:space="preserve">h </w:t>
      </w:r>
      <w:r w:rsidRPr="009934A2">
        <w:rPr>
          <w:rFonts w:cs="Arial"/>
          <w:spacing w:val="-2"/>
        </w:rPr>
        <w:t>Transformation programme and the implementation of integrated tariffs in an increasing number of areas.</w:t>
      </w:r>
    </w:p>
    <w:p w:rsidR="001315E3" w:rsidRPr="00A67B9E" w:rsidRDefault="001315E3" w:rsidP="00A67B9E">
      <w:pPr>
        <w:widowControl w:val="0"/>
        <w:autoSpaceDE w:val="0"/>
        <w:autoSpaceDN w:val="0"/>
        <w:adjustRightInd w:val="0"/>
        <w:spacing w:line="275" w:lineRule="exact"/>
        <w:rPr>
          <w:rFonts w:cs="Arial"/>
          <w:spacing w:val="-2"/>
        </w:rPr>
      </w:pPr>
    </w:p>
    <w:p w:rsidR="001315E3" w:rsidRPr="00A67B9E" w:rsidRDefault="001315E3" w:rsidP="00A67B9E">
      <w:pPr>
        <w:widowControl w:val="0"/>
        <w:autoSpaceDE w:val="0"/>
        <w:autoSpaceDN w:val="0"/>
        <w:adjustRightInd w:val="0"/>
        <w:spacing w:line="275" w:lineRule="exact"/>
        <w:rPr>
          <w:rFonts w:cs="Arial"/>
          <w:spacing w:val="-2"/>
        </w:rPr>
      </w:pPr>
    </w:p>
    <w:p w:rsidR="001315E3" w:rsidRPr="00A67B9E" w:rsidRDefault="001315E3" w:rsidP="00A67B9E">
      <w:pPr>
        <w:pStyle w:val="ListParagraph"/>
        <w:widowControl w:val="0"/>
        <w:numPr>
          <w:ilvl w:val="0"/>
          <w:numId w:val="1"/>
        </w:numPr>
        <w:tabs>
          <w:tab w:val="left" w:pos="716"/>
        </w:tabs>
        <w:autoSpaceDE w:val="0"/>
        <w:autoSpaceDN w:val="0"/>
        <w:adjustRightInd w:val="0"/>
        <w:spacing w:line="240" w:lineRule="exact"/>
        <w:rPr>
          <w:rFonts w:cs="Arial"/>
          <w:b/>
          <w:bCs/>
          <w:spacing w:val="-5"/>
        </w:rPr>
      </w:pPr>
      <w:r w:rsidRPr="00A67B9E">
        <w:rPr>
          <w:rFonts w:cs="Arial"/>
          <w:b/>
          <w:bCs/>
          <w:spacing w:val="-5"/>
        </w:rPr>
        <w:t xml:space="preserve">Health Protection </w:t>
      </w:r>
    </w:p>
    <w:p w:rsidR="001C79A7" w:rsidRPr="00A67B9E" w:rsidRDefault="001C79A7" w:rsidP="00A67B9E">
      <w:pPr>
        <w:widowControl w:val="0"/>
        <w:autoSpaceDE w:val="0"/>
        <w:autoSpaceDN w:val="0"/>
        <w:adjustRightInd w:val="0"/>
        <w:spacing w:line="276" w:lineRule="exact"/>
        <w:rPr>
          <w:rFonts w:cs="Arial"/>
          <w:spacing w:val="-2"/>
        </w:rPr>
      </w:pPr>
    </w:p>
    <w:p w:rsidR="001315E3" w:rsidRPr="00A67B9E" w:rsidRDefault="001315E3" w:rsidP="00A67B9E">
      <w:pPr>
        <w:widowControl w:val="0"/>
        <w:autoSpaceDE w:val="0"/>
        <w:autoSpaceDN w:val="0"/>
        <w:adjustRightInd w:val="0"/>
        <w:spacing w:line="276" w:lineRule="exact"/>
        <w:rPr>
          <w:rFonts w:cs="Arial"/>
        </w:rPr>
      </w:pPr>
      <w:r w:rsidRPr="00A67B9E">
        <w:rPr>
          <w:rFonts w:cs="Arial"/>
          <w:spacing w:val="-2"/>
        </w:rPr>
        <w:t xml:space="preserve">The 2012 Health and Social Care Act defines the responsibilities of Directors of Public Health in their role. This includes delivering Local Authority functions in relation to planning for, and responding to, emergencies that present a risk to public health. Identifying those individuals who are infected with a sexually transmitted infection (STI) is an important health protection intervention. </w:t>
      </w:r>
    </w:p>
    <w:p w:rsidR="001315E3" w:rsidRPr="00A67B9E" w:rsidRDefault="001315E3" w:rsidP="00A67B9E">
      <w:pPr>
        <w:widowControl w:val="0"/>
        <w:autoSpaceDE w:val="0"/>
        <w:autoSpaceDN w:val="0"/>
        <w:adjustRightInd w:val="0"/>
        <w:spacing w:line="276" w:lineRule="exact"/>
        <w:rPr>
          <w:rFonts w:cs="Arial"/>
        </w:rPr>
      </w:pPr>
    </w:p>
    <w:p w:rsidR="001315E3" w:rsidRPr="00A67B9E" w:rsidRDefault="001315E3" w:rsidP="00A67B9E">
      <w:pPr>
        <w:widowControl w:val="0"/>
        <w:autoSpaceDE w:val="0"/>
        <w:autoSpaceDN w:val="0"/>
        <w:adjustRightInd w:val="0"/>
        <w:spacing w:line="276" w:lineRule="exact"/>
        <w:rPr>
          <w:rFonts w:cs="Arial"/>
        </w:rPr>
      </w:pPr>
      <w:r w:rsidRPr="00A67B9E">
        <w:rPr>
          <w:rFonts w:cs="Arial"/>
          <w:spacing w:val="-2"/>
        </w:rPr>
        <w:t xml:space="preserve">By early identification and treatment coupled with partner notification, the spread of </w:t>
      </w:r>
    </w:p>
    <w:p w:rsidR="001315E3" w:rsidRPr="00A67B9E" w:rsidRDefault="001315E3" w:rsidP="00A67B9E">
      <w:pPr>
        <w:widowControl w:val="0"/>
        <w:autoSpaceDE w:val="0"/>
        <w:autoSpaceDN w:val="0"/>
        <w:adjustRightInd w:val="0"/>
        <w:spacing w:line="276" w:lineRule="exact"/>
        <w:rPr>
          <w:rFonts w:cs="Arial"/>
        </w:rPr>
      </w:pPr>
      <w:r w:rsidRPr="00A67B9E">
        <w:rPr>
          <w:rFonts w:cs="Arial"/>
          <w:spacing w:val="-2"/>
        </w:rPr>
        <w:t xml:space="preserve">STIs can be limited within the population. The movement of individuals and potential for spread of infection goes beyond and is not limited by the geographical boundaries </w:t>
      </w:r>
      <w:r w:rsidR="00F14FC5" w:rsidRPr="00A67B9E">
        <w:rPr>
          <w:rFonts w:cs="Arial"/>
          <w:spacing w:val="-2"/>
        </w:rPr>
        <w:t xml:space="preserve">of </w:t>
      </w:r>
      <w:r w:rsidRPr="00A67B9E">
        <w:rPr>
          <w:rFonts w:cs="Arial"/>
          <w:spacing w:val="-2"/>
        </w:rPr>
        <w:t xml:space="preserve">Local Authorities. The current issues which have arisen through lack of clear guidance on out of area cross charging should not be a barrier for service users having open access to STI testing and treatment services. </w:t>
      </w:r>
    </w:p>
    <w:p w:rsidR="001315E3" w:rsidRPr="00A67B9E" w:rsidRDefault="001315E3" w:rsidP="00A67B9E">
      <w:pPr>
        <w:widowControl w:val="0"/>
        <w:autoSpaceDE w:val="0"/>
        <w:autoSpaceDN w:val="0"/>
        <w:adjustRightInd w:val="0"/>
        <w:spacing w:line="276" w:lineRule="exact"/>
        <w:rPr>
          <w:rFonts w:cs="Arial"/>
        </w:rPr>
      </w:pPr>
    </w:p>
    <w:p w:rsidR="001315E3" w:rsidRPr="00A67B9E" w:rsidRDefault="001315E3" w:rsidP="00A67B9E">
      <w:pPr>
        <w:pStyle w:val="ListParagraph"/>
        <w:widowControl w:val="0"/>
        <w:numPr>
          <w:ilvl w:val="0"/>
          <w:numId w:val="1"/>
        </w:numPr>
        <w:tabs>
          <w:tab w:val="left" w:pos="716"/>
        </w:tabs>
        <w:autoSpaceDE w:val="0"/>
        <w:autoSpaceDN w:val="0"/>
        <w:adjustRightInd w:val="0"/>
        <w:spacing w:line="275" w:lineRule="exact"/>
        <w:rPr>
          <w:rFonts w:cs="Arial"/>
        </w:rPr>
      </w:pPr>
      <w:r w:rsidRPr="00A67B9E">
        <w:rPr>
          <w:rFonts w:cs="Arial"/>
          <w:b/>
          <w:bCs/>
          <w:spacing w:val="-15"/>
        </w:rPr>
        <w:t xml:space="preserve">Legal </w:t>
      </w:r>
    </w:p>
    <w:p w:rsidR="001C79A7" w:rsidRPr="00A67B9E" w:rsidRDefault="001C79A7" w:rsidP="00A67B9E">
      <w:pPr>
        <w:widowControl w:val="0"/>
        <w:autoSpaceDE w:val="0"/>
        <w:autoSpaceDN w:val="0"/>
        <w:adjustRightInd w:val="0"/>
        <w:spacing w:line="275" w:lineRule="exact"/>
        <w:rPr>
          <w:rFonts w:cs="Arial"/>
          <w:spacing w:val="-2"/>
        </w:rPr>
      </w:pPr>
    </w:p>
    <w:p w:rsidR="001315E3" w:rsidRPr="00A67B9E" w:rsidRDefault="001315E3" w:rsidP="00A67B9E">
      <w:pPr>
        <w:widowControl w:val="0"/>
        <w:autoSpaceDE w:val="0"/>
        <w:autoSpaceDN w:val="0"/>
        <w:adjustRightInd w:val="0"/>
        <w:spacing w:line="275" w:lineRule="exact"/>
        <w:rPr>
          <w:rFonts w:cs="Arial"/>
        </w:rPr>
      </w:pPr>
      <w:r w:rsidRPr="00A67B9E">
        <w:rPr>
          <w:rFonts w:cs="Arial"/>
          <w:spacing w:val="-3"/>
        </w:rPr>
        <w:t xml:space="preserve">Legal advice is that the DH 'Sexual Health Services: Key Principles for Cross </w:t>
      </w:r>
    </w:p>
    <w:p w:rsidR="001315E3" w:rsidRPr="00A67B9E" w:rsidRDefault="001315E3" w:rsidP="00A67B9E">
      <w:pPr>
        <w:widowControl w:val="0"/>
        <w:autoSpaceDE w:val="0"/>
        <w:autoSpaceDN w:val="0"/>
        <w:adjustRightInd w:val="0"/>
        <w:spacing w:line="275" w:lineRule="exact"/>
        <w:rPr>
          <w:rFonts w:cs="Arial"/>
          <w:spacing w:val="-4"/>
        </w:rPr>
      </w:pPr>
      <w:r w:rsidRPr="00A67B9E">
        <w:rPr>
          <w:rFonts w:cs="Arial"/>
          <w:spacing w:val="-2"/>
        </w:rPr>
        <w:t xml:space="preserve">Charging' document 2013, </w:t>
      </w:r>
      <w:r w:rsidR="00337F3F">
        <w:rPr>
          <w:rFonts w:cs="Arial"/>
          <w:spacing w:val="-2"/>
        </w:rPr>
        <w:t>(</w:t>
      </w:r>
      <w:r w:rsidRPr="00337F3F">
        <w:rPr>
          <w:rFonts w:cs="Arial"/>
          <w:spacing w:val="-2"/>
        </w:rPr>
        <w:t>updated 2018)</w:t>
      </w:r>
      <w:r w:rsidRPr="00A67B9E">
        <w:rPr>
          <w:rFonts w:cs="Arial"/>
          <w:spacing w:val="-2"/>
        </w:rPr>
        <w:t xml:space="preserve"> is guidance and not legally binding, however it is best </w:t>
      </w:r>
      <w:r w:rsidRPr="00A67B9E">
        <w:rPr>
          <w:rFonts w:cs="Arial"/>
          <w:spacing w:val="-1"/>
        </w:rPr>
        <w:t xml:space="preserve">practice to apply the guidance. Bringing an action in contract law would be </w:t>
      </w:r>
      <w:r w:rsidRPr="00A67B9E">
        <w:rPr>
          <w:rFonts w:cs="Arial"/>
          <w:spacing w:val="-2"/>
        </w:rPr>
        <w:t xml:space="preserve">challenging for the claimant. Essentially, albeit that there is now no GUM non- mandatory national tariff, the DH has indicated what the national tariff would be if there was one. Making a policy decision that we will pay this rate (GUM non- mandatory tariff) is defensible and more likely to involve the DH in any legal </w:t>
      </w:r>
      <w:r w:rsidRPr="00A67B9E">
        <w:rPr>
          <w:rFonts w:cs="Arial"/>
          <w:spacing w:val="-4"/>
        </w:rPr>
        <w:t xml:space="preserve">challenge if there was one. </w:t>
      </w:r>
    </w:p>
    <w:p w:rsidR="001C79A7" w:rsidRPr="00A67B9E" w:rsidRDefault="001C79A7" w:rsidP="00A67B9E">
      <w:pPr>
        <w:widowControl w:val="0"/>
        <w:autoSpaceDE w:val="0"/>
        <w:autoSpaceDN w:val="0"/>
        <w:adjustRightInd w:val="0"/>
        <w:spacing w:line="275" w:lineRule="exact"/>
        <w:rPr>
          <w:rFonts w:cs="Arial"/>
          <w:spacing w:val="-4"/>
        </w:rPr>
      </w:pPr>
    </w:p>
    <w:p w:rsidR="001C79A7" w:rsidRPr="00A67B9E" w:rsidRDefault="001C79A7" w:rsidP="00A67B9E">
      <w:pPr>
        <w:pStyle w:val="ListParagraph"/>
        <w:widowControl w:val="0"/>
        <w:numPr>
          <w:ilvl w:val="0"/>
          <w:numId w:val="1"/>
        </w:numPr>
        <w:tabs>
          <w:tab w:val="left" w:pos="716"/>
        </w:tabs>
        <w:autoSpaceDE w:val="0"/>
        <w:autoSpaceDN w:val="0"/>
        <w:adjustRightInd w:val="0"/>
        <w:spacing w:line="240" w:lineRule="exact"/>
        <w:rPr>
          <w:rFonts w:cs="Arial"/>
          <w:b/>
          <w:bCs/>
          <w:spacing w:val="-6"/>
        </w:rPr>
      </w:pPr>
      <w:r w:rsidRPr="00A67B9E">
        <w:rPr>
          <w:rFonts w:cs="Arial"/>
          <w:b/>
          <w:bCs/>
          <w:spacing w:val="-6"/>
        </w:rPr>
        <w:t xml:space="preserve">Risk Management </w:t>
      </w:r>
    </w:p>
    <w:p w:rsidR="001C79A7" w:rsidRPr="00A67B9E" w:rsidRDefault="001C79A7" w:rsidP="00A67B9E">
      <w:pPr>
        <w:widowControl w:val="0"/>
        <w:autoSpaceDE w:val="0"/>
        <w:autoSpaceDN w:val="0"/>
        <w:adjustRightInd w:val="0"/>
        <w:spacing w:line="270" w:lineRule="exact"/>
        <w:rPr>
          <w:rFonts w:cs="Arial"/>
          <w:spacing w:val="-2"/>
        </w:rPr>
      </w:pPr>
    </w:p>
    <w:p w:rsidR="00AB094C" w:rsidRPr="00A67B9E" w:rsidRDefault="00AB094C" w:rsidP="00A67B9E">
      <w:pPr>
        <w:autoSpaceDE w:val="0"/>
        <w:autoSpaceDN w:val="0"/>
        <w:adjustRightInd w:val="0"/>
        <w:jc w:val="both"/>
        <w:rPr>
          <w:rFonts w:cs="Arial"/>
          <w:color w:val="000000" w:themeColor="text1"/>
        </w:rPr>
      </w:pPr>
      <w:r w:rsidRPr="00337F3F">
        <w:rPr>
          <w:rFonts w:cs="Arial"/>
          <w:color w:val="000000" w:themeColor="text1"/>
        </w:rPr>
        <w:t>Adoption of a region-wide policy across the South East aims to mitigate</w:t>
      </w:r>
      <w:r w:rsidR="00C03FF9" w:rsidRPr="00337F3F">
        <w:rPr>
          <w:rFonts w:cs="Arial"/>
          <w:color w:val="000000" w:themeColor="text1"/>
        </w:rPr>
        <w:t xml:space="preserve"> risks by ensuring that neighbouring local authorities where there is natural cross-border use of services by patients implement similar approaches to cross-charging.</w:t>
      </w:r>
    </w:p>
    <w:p w:rsidR="00AB094C" w:rsidRPr="00A67B9E" w:rsidRDefault="00AB094C" w:rsidP="00A67B9E">
      <w:pPr>
        <w:widowControl w:val="0"/>
        <w:autoSpaceDE w:val="0"/>
        <w:autoSpaceDN w:val="0"/>
        <w:adjustRightInd w:val="0"/>
        <w:spacing w:line="270" w:lineRule="exact"/>
        <w:rPr>
          <w:rFonts w:cs="Arial"/>
        </w:rPr>
      </w:pPr>
    </w:p>
    <w:p w:rsidR="001C79A7" w:rsidRPr="00A67B9E" w:rsidRDefault="001C79A7" w:rsidP="00A67B9E">
      <w:pPr>
        <w:widowControl w:val="0"/>
        <w:autoSpaceDE w:val="0"/>
        <w:autoSpaceDN w:val="0"/>
        <w:adjustRightInd w:val="0"/>
        <w:spacing w:line="275" w:lineRule="exact"/>
        <w:rPr>
          <w:rFonts w:cs="Arial"/>
          <w:strike/>
          <w:spacing w:val="-3"/>
        </w:rPr>
      </w:pPr>
    </w:p>
    <w:p w:rsidR="001C79A7" w:rsidRPr="00A67B9E" w:rsidRDefault="001C79A7" w:rsidP="00A67B9E">
      <w:pPr>
        <w:pStyle w:val="ListParagraph"/>
        <w:widowControl w:val="0"/>
        <w:numPr>
          <w:ilvl w:val="0"/>
          <w:numId w:val="1"/>
        </w:numPr>
        <w:tabs>
          <w:tab w:val="left" w:pos="716"/>
        </w:tabs>
        <w:autoSpaceDE w:val="0"/>
        <w:autoSpaceDN w:val="0"/>
        <w:adjustRightInd w:val="0"/>
        <w:spacing w:line="240" w:lineRule="exact"/>
        <w:rPr>
          <w:rFonts w:cs="Arial"/>
          <w:b/>
          <w:bCs/>
          <w:spacing w:val="-5"/>
        </w:rPr>
      </w:pPr>
      <w:r w:rsidRPr="00A67B9E">
        <w:rPr>
          <w:rFonts w:cs="Arial"/>
          <w:b/>
          <w:bCs/>
          <w:spacing w:val="-5"/>
        </w:rPr>
        <w:t xml:space="preserve">Equality and Diversity </w:t>
      </w:r>
    </w:p>
    <w:p w:rsidR="001C79A7" w:rsidRPr="00A67B9E" w:rsidRDefault="001C79A7" w:rsidP="00A67B9E">
      <w:pPr>
        <w:pStyle w:val="ListParagraph"/>
        <w:widowControl w:val="0"/>
        <w:tabs>
          <w:tab w:val="left" w:pos="716"/>
        </w:tabs>
        <w:autoSpaceDE w:val="0"/>
        <w:autoSpaceDN w:val="0"/>
        <w:adjustRightInd w:val="0"/>
        <w:spacing w:line="240" w:lineRule="exact"/>
        <w:ind w:left="360"/>
        <w:rPr>
          <w:rFonts w:cs="Arial"/>
          <w:b/>
          <w:bCs/>
          <w:spacing w:val="-5"/>
        </w:rPr>
      </w:pPr>
    </w:p>
    <w:p w:rsidR="001C79A7" w:rsidRPr="00A67B9E" w:rsidRDefault="001C79A7" w:rsidP="00A67B9E">
      <w:pPr>
        <w:widowControl w:val="0"/>
        <w:autoSpaceDE w:val="0"/>
        <w:autoSpaceDN w:val="0"/>
        <w:adjustRightInd w:val="0"/>
        <w:spacing w:line="275" w:lineRule="exact"/>
        <w:rPr>
          <w:rFonts w:cs="Arial"/>
        </w:rPr>
      </w:pPr>
      <w:r w:rsidRPr="00A67B9E">
        <w:rPr>
          <w:rFonts w:cs="Arial"/>
          <w:spacing w:val="-2"/>
        </w:rPr>
        <w:t xml:space="preserve">In making this decision, all Local Authorities across the South East Region will maintain confidential, open access services and ensure that local residents can attend a sexual health service of their choice without geographical boundaries. </w:t>
      </w:r>
    </w:p>
    <w:p w:rsidR="001C79A7" w:rsidRPr="00A67B9E" w:rsidRDefault="001C79A7" w:rsidP="00A67B9E">
      <w:pPr>
        <w:widowControl w:val="0"/>
        <w:autoSpaceDE w:val="0"/>
        <w:autoSpaceDN w:val="0"/>
        <w:adjustRightInd w:val="0"/>
        <w:spacing w:line="276" w:lineRule="exact"/>
        <w:rPr>
          <w:rFonts w:cs="Arial"/>
        </w:rPr>
      </w:pPr>
    </w:p>
    <w:p w:rsidR="001C79A7" w:rsidRPr="00A67B9E" w:rsidRDefault="001C79A7" w:rsidP="00A67B9E">
      <w:pPr>
        <w:widowControl w:val="0"/>
        <w:autoSpaceDE w:val="0"/>
        <w:autoSpaceDN w:val="0"/>
        <w:adjustRightInd w:val="0"/>
        <w:spacing w:line="275" w:lineRule="exact"/>
        <w:rPr>
          <w:rFonts w:cs="Arial"/>
        </w:rPr>
      </w:pPr>
      <w:r w:rsidRPr="00A67B9E">
        <w:rPr>
          <w:rFonts w:cs="Arial"/>
          <w:spacing w:val="-2"/>
        </w:rPr>
        <w:t xml:space="preserve">This is the requirement for Genito-Urinary Medicine (GUM) and Contraception and </w:t>
      </w:r>
    </w:p>
    <w:p w:rsidR="001C79A7" w:rsidRPr="00A67B9E" w:rsidRDefault="001C79A7" w:rsidP="00A67B9E">
      <w:pPr>
        <w:widowControl w:val="0"/>
        <w:autoSpaceDE w:val="0"/>
        <w:autoSpaceDN w:val="0"/>
        <w:adjustRightInd w:val="0"/>
        <w:spacing w:line="275" w:lineRule="exact"/>
        <w:rPr>
          <w:rFonts w:cs="Arial"/>
        </w:rPr>
      </w:pPr>
      <w:r w:rsidRPr="00A67B9E">
        <w:rPr>
          <w:rFonts w:cs="Arial"/>
          <w:spacing w:val="-2"/>
        </w:rPr>
        <w:t>Sexual Health (</w:t>
      </w:r>
      <w:proofErr w:type="spellStart"/>
      <w:r w:rsidRPr="00A67B9E">
        <w:rPr>
          <w:rFonts w:cs="Arial"/>
          <w:spacing w:val="-2"/>
        </w:rPr>
        <w:t>CaSH</w:t>
      </w:r>
      <w:proofErr w:type="spellEnd"/>
      <w:r w:rsidRPr="00A67B9E">
        <w:rPr>
          <w:rFonts w:cs="Arial"/>
          <w:spacing w:val="-2"/>
        </w:rPr>
        <w:t xml:space="preserve">) services to be provided on an open access basis as stipulated </w:t>
      </w:r>
    </w:p>
    <w:p w:rsidR="001C79A7" w:rsidRPr="00A67B9E" w:rsidRDefault="001C79A7" w:rsidP="00A67B9E">
      <w:pPr>
        <w:widowControl w:val="0"/>
        <w:autoSpaceDE w:val="0"/>
        <w:autoSpaceDN w:val="0"/>
        <w:adjustRightInd w:val="0"/>
        <w:spacing w:line="273" w:lineRule="exact"/>
        <w:rPr>
          <w:rFonts w:cs="Arial"/>
        </w:rPr>
      </w:pPr>
      <w:r w:rsidRPr="00A67B9E">
        <w:rPr>
          <w:rFonts w:cs="Arial"/>
          <w:spacing w:val="-2"/>
        </w:rPr>
        <w:t>in the</w:t>
      </w:r>
      <w:r w:rsidRPr="00A67B9E">
        <w:rPr>
          <w:rFonts w:cs="Arial"/>
          <w:i/>
          <w:iCs/>
          <w:spacing w:val="-2"/>
        </w:rPr>
        <w:t xml:space="preserve"> Local Authorities (Public Health Functions and Entry to Premises by Local </w:t>
      </w:r>
      <w:r w:rsidRPr="00A67B9E">
        <w:rPr>
          <w:rFonts w:cs="Arial"/>
          <w:i/>
          <w:iCs/>
          <w:spacing w:val="-6"/>
        </w:rPr>
        <w:t>Healthwatch Representatives) Regulations 2013</w:t>
      </w:r>
      <w:r w:rsidRPr="00A67B9E">
        <w:rPr>
          <w:rFonts w:cs="Arial"/>
          <w:spacing w:val="-6"/>
        </w:rPr>
        <w:t xml:space="preserve"> ("the Regulations"). </w:t>
      </w:r>
    </w:p>
    <w:p w:rsidR="001C79A7" w:rsidRPr="00A67B9E" w:rsidRDefault="001C79A7" w:rsidP="00A67B9E">
      <w:pPr>
        <w:widowControl w:val="0"/>
        <w:autoSpaceDE w:val="0"/>
        <w:autoSpaceDN w:val="0"/>
        <w:adjustRightInd w:val="0"/>
        <w:spacing w:line="278" w:lineRule="exact"/>
        <w:rPr>
          <w:rFonts w:cs="Arial"/>
        </w:rPr>
      </w:pPr>
    </w:p>
    <w:p w:rsidR="001C79A7" w:rsidRPr="00A67B9E" w:rsidRDefault="001C79A7" w:rsidP="00A67B9E">
      <w:pPr>
        <w:widowControl w:val="0"/>
        <w:autoSpaceDE w:val="0"/>
        <w:autoSpaceDN w:val="0"/>
        <w:adjustRightInd w:val="0"/>
        <w:spacing w:line="275" w:lineRule="exact"/>
        <w:rPr>
          <w:rFonts w:cs="Arial"/>
        </w:rPr>
      </w:pPr>
      <w:r w:rsidRPr="00A67B9E">
        <w:rPr>
          <w:rFonts w:cs="Arial"/>
          <w:spacing w:val="-2"/>
        </w:rPr>
        <w:t xml:space="preserve">There are </w:t>
      </w:r>
      <w:r w:rsidR="004B30B3" w:rsidRPr="00A67B9E">
        <w:rPr>
          <w:rFonts w:cs="Arial"/>
          <w:spacing w:val="-2"/>
        </w:rPr>
        <w:t>several</w:t>
      </w:r>
      <w:r w:rsidRPr="00A67B9E">
        <w:rPr>
          <w:rFonts w:cs="Arial"/>
          <w:spacing w:val="-2"/>
        </w:rPr>
        <w:t xml:space="preserve"> benefits to aligning to this South East Regional position but primarily this will help to provide clarity, equality of approach across the Region and make most efficient use of limited resources to benefit the residents of each Local </w:t>
      </w:r>
      <w:r w:rsidRPr="00A67B9E">
        <w:rPr>
          <w:rFonts w:cs="Arial"/>
          <w:spacing w:val="-8"/>
        </w:rPr>
        <w:t xml:space="preserve">Authority. </w:t>
      </w:r>
    </w:p>
    <w:p w:rsidR="001C79A7" w:rsidRPr="00A67B9E" w:rsidRDefault="001C79A7" w:rsidP="00A67B9E">
      <w:pPr>
        <w:widowControl w:val="0"/>
        <w:autoSpaceDE w:val="0"/>
        <w:autoSpaceDN w:val="0"/>
        <w:adjustRightInd w:val="0"/>
        <w:spacing w:line="276" w:lineRule="exact"/>
        <w:rPr>
          <w:rFonts w:cs="Arial"/>
        </w:rPr>
      </w:pPr>
    </w:p>
    <w:p w:rsidR="001C79A7" w:rsidRPr="00A67B9E" w:rsidRDefault="001C79A7" w:rsidP="00A67B9E">
      <w:pPr>
        <w:widowControl w:val="0"/>
        <w:autoSpaceDE w:val="0"/>
        <w:autoSpaceDN w:val="0"/>
        <w:adjustRightInd w:val="0"/>
        <w:spacing w:line="276" w:lineRule="exact"/>
        <w:rPr>
          <w:rFonts w:cs="Arial"/>
          <w:spacing w:val="-3"/>
        </w:rPr>
      </w:pPr>
      <w:r w:rsidRPr="00A67B9E">
        <w:rPr>
          <w:rFonts w:cs="Arial"/>
          <w:spacing w:val="-2"/>
        </w:rPr>
        <w:t xml:space="preserve">The burden of poor sexual health is concentrated in many vulnerable and marginalised communities and improving sexual and reproductive health will address </w:t>
      </w:r>
      <w:r w:rsidRPr="00A67B9E">
        <w:rPr>
          <w:rFonts w:cs="Arial"/>
          <w:spacing w:val="-3"/>
        </w:rPr>
        <w:t>differences in sexual health outcomes and inequalities.</w:t>
      </w:r>
    </w:p>
    <w:p w:rsidR="001C79A7" w:rsidRPr="00A67B9E" w:rsidRDefault="001C79A7" w:rsidP="00A67B9E">
      <w:pPr>
        <w:widowControl w:val="0"/>
        <w:autoSpaceDE w:val="0"/>
        <w:autoSpaceDN w:val="0"/>
        <w:adjustRightInd w:val="0"/>
        <w:spacing w:line="276" w:lineRule="exact"/>
        <w:rPr>
          <w:rFonts w:cs="Arial"/>
          <w:spacing w:val="-3"/>
        </w:rPr>
      </w:pPr>
    </w:p>
    <w:p w:rsidR="001C79A7" w:rsidRPr="00337F3F" w:rsidRDefault="001C79A7" w:rsidP="00A67B9E">
      <w:pPr>
        <w:widowControl w:val="0"/>
        <w:tabs>
          <w:tab w:val="left" w:pos="716"/>
        </w:tabs>
        <w:autoSpaceDE w:val="0"/>
        <w:autoSpaceDN w:val="0"/>
        <w:adjustRightInd w:val="0"/>
        <w:spacing w:line="240" w:lineRule="exact"/>
        <w:rPr>
          <w:rFonts w:cs="Arial"/>
          <w:b/>
          <w:bCs/>
          <w:spacing w:val="-4"/>
        </w:rPr>
      </w:pPr>
      <w:r w:rsidRPr="00A67B9E">
        <w:rPr>
          <w:rFonts w:cs="Arial"/>
          <w:b/>
          <w:bCs/>
          <w:spacing w:val="-2"/>
        </w:rPr>
        <w:t>8</w:t>
      </w:r>
      <w:r w:rsidRPr="00A67B9E">
        <w:rPr>
          <w:rFonts w:cs="Arial"/>
        </w:rPr>
        <w:tab/>
      </w:r>
      <w:r w:rsidRPr="00337F3F">
        <w:rPr>
          <w:rFonts w:cs="Arial"/>
          <w:b/>
          <w:bCs/>
          <w:spacing w:val="-4"/>
        </w:rPr>
        <w:t>Communication and Dissemination</w:t>
      </w:r>
    </w:p>
    <w:p w:rsidR="001C79A7" w:rsidRPr="00337F3F" w:rsidRDefault="001C79A7" w:rsidP="00A67B9E">
      <w:pPr>
        <w:widowControl w:val="0"/>
        <w:autoSpaceDE w:val="0"/>
        <w:autoSpaceDN w:val="0"/>
        <w:adjustRightInd w:val="0"/>
        <w:spacing w:line="276" w:lineRule="exact"/>
        <w:rPr>
          <w:rFonts w:cs="Arial"/>
          <w:spacing w:val="-2"/>
        </w:rPr>
      </w:pPr>
    </w:p>
    <w:p w:rsidR="001C79A7" w:rsidRPr="00337F3F" w:rsidRDefault="001C79A7" w:rsidP="00A67B9E">
      <w:pPr>
        <w:widowControl w:val="0"/>
        <w:autoSpaceDE w:val="0"/>
        <w:autoSpaceDN w:val="0"/>
        <w:adjustRightInd w:val="0"/>
        <w:spacing w:line="276" w:lineRule="exact"/>
        <w:rPr>
          <w:rFonts w:cs="Arial"/>
        </w:rPr>
      </w:pPr>
      <w:r w:rsidRPr="00337F3F">
        <w:rPr>
          <w:rFonts w:cs="Arial"/>
          <w:spacing w:val="-2"/>
        </w:rPr>
        <w:t xml:space="preserve">This Policy will be posted for circulation on the English Sexual Health and HIV </w:t>
      </w:r>
    </w:p>
    <w:p w:rsidR="001C79A7" w:rsidRPr="00337F3F" w:rsidRDefault="001C79A7" w:rsidP="00A67B9E">
      <w:pPr>
        <w:widowControl w:val="0"/>
        <w:autoSpaceDE w:val="0"/>
        <w:autoSpaceDN w:val="0"/>
        <w:adjustRightInd w:val="0"/>
        <w:spacing w:line="276" w:lineRule="exact"/>
        <w:rPr>
          <w:rFonts w:cs="Arial"/>
        </w:rPr>
      </w:pPr>
      <w:r w:rsidRPr="00337F3F">
        <w:rPr>
          <w:rFonts w:cs="Arial"/>
          <w:spacing w:val="-3"/>
        </w:rPr>
        <w:t xml:space="preserve">Commissioners Group Forum, with a request for </w:t>
      </w:r>
      <w:r w:rsidRPr="00337F3F">
        <w:rPr>
          <w:rFonts w:cs="Arial"/>
          <w:spacing w:val="-1"/>
        </w:rPr>
        <w:t xml:space="preserve">Commissioners to share this information with their Provider services. Information </w:t>
      </w:r>
      <w:r w:rsidRPr="00337F3F">
        <w:rPr>
          <w:rFonts w:cs="Arial"/>
          <w:spacing w:val="-2"/>
        </w:rPr>
        <w:t xml:space="preserve">will also be sent direct to all Providers by a lead from </w:t>
      </w:r>
      <w:r w:rsidR="004B30B3" w:rsidRPr="00337F3F">
        <w:rPr>
          <w:rFonts w:cs="Arial"/>
          <w:spacing w:val="-2"/>
        </w:rPr>
        <w:t>the South</w:t>
      </w:r>
      <w:r w:rsidR="00D54215" w:rsidRPr="00337F3F">
        <w:rPr>
          <w:rFonts w:cs="Arial"/>
          <w:spacing w:val="-2"/>
        </w:rPr>
        <w:t xml:space="preserve"> East </w:t>
      </w:r>
      <w:r w:rsidRPr="00337F3F">
        <w:rPr>
          <w:rFonts w:cs="Arial"/>
          <w:spacing w:val="-2"/>
        </w:rPr>
        <w:t xml:space="preserve">Association of Directors of </w:t>
      </w:r>
      <w:r w:rsidRPr="00337F3F">
        <w:rPr>
          <w:rFonts w:cs="Arial"/>
          <w:spacing w:val="-6"/>
        </w:rPr>
        <w:t>Public Health</w:t>
      </w:r>
      <w:r w:rsidR="00D54215" w:rsidRPr="00337F3F">
        <w:rPr>
          <w:rFonts w:cs="Arial"/>
          <w:spacing w:val="-6"/>
        </w:rPr>
        <w:t xml:space="preserve"> Network</w:t>
      </w:r>
    </w:p>
    <w:p w:rsidR="001C79A7" w:rsidRPr="00337F3F" w:rsidRDefault="001C79A7" w:rsidP="00A67B9E">
      <w:pPr>
        <w:widowControl w:val="0"/>
        <w:autoSpaceDE w:val="0"/>
        <w:autoSpaceDN w:val="0"/>
        <w:adjustRightInd w:val="0"/>
        <w:spacing w:line="276" w:lineRule="exact"/>
        <w:rPr>
          <w:rFonts w:cs="Arial"/>
        </w:rPr>
      </w:pPr>
    </w:p>
    <w:p w:rsidR="001C79A7" w:rsidRPr="00A67B9E" w:rsidRDefault="001C79A7" w:rsidP="00A67B9E">
      <w:pPr>
        <w:widowControl w:val="0"/>
        <w:autoSpaceDE w:val="0"/>
        <w:autoSpaceDN w:val="0"/>
        <w:adjustRightInd w:val="0"/>
        <w:spacing w:line="275" w:lineRule="exact"/>
        <w:rPr>
          <w:rFonts w:cs="Arial"/>
        </w:rPr>
      </w:pPr>
      <w:r w:rsidRPr="00337F3F">
        <w:rPr>
          <w:rFonts w:cs="Arial"/>
          <w:spacing w:val="-2"/>
        </w:rPr>
        <w:t xml:space="preserve">A copy of the Policy has been sent for information to the South East Association of Directors of Public Health who will keep the Policy under review, taking account of feedback from stakeholders and any other changes that are likely to have a </w:t>
      </w:r>
      <w:r w:rsidRPr="00337F3F">
        <w:rPr>
          <w:rFonts w:cs="Arial"/>
          <w:spacing w:val="-3"/>
        </w:rPr>
        <w:t>significant impact on the Policy.</w:t>
      </w:r>
      <w:r w:rsidRPr="00A67B9E">
        <w:rPr>
          <w:rFonts w:cs="Arial"/>
          <w:spacing w:val="-3"/>
        </w:rPr>
        <w:t xml:space="preserve"> </w:t>
      </w:r>
    </w:p>
    <w:p w:rsidR="001C79A7" w:rsidRPr="00A67B9E" w:rsidRDefault="001C79A7" w:rsidP="00A67B9E">
      <w:pPr>
        <w:widowControl w:val="0"/>
        <w:autoSpaceDE w:val="0"/>
        <w:autoSpaceDN w:val="0"/>
        <w:adjustRightInd w:val="0"/>
        <w:spacing w:line="276" w:lineRule="exact"/>
        <w:rPr>
          <w:rFonts w:cs="Arial"/>
        </w:rPr>
      </w:pPr>
    </w:p>
    <w:p w:rsidR="001C79A7" w:rsidRPr="00A67B9E" w:rsidRDefault="001C79A7" w:rsidP="00A67B9E">
      <w:pPr>
        <w:widowControl w:val="0"/>
        <w:autoSpaceDE w:val="0"/>
        <w:autoSpaceDN w:val="0"/>
        <w:adjustRightInd w:val="0"/>
        <w:spacing w:line="240" w:lineRule="exact"/>
        <w:rPr>
          <w:rFonts w:cs="Arial"/>
        </w:rPr>
      </w:pPr>
    </w:p>
    <w:p w:rsidR="001C79A7" w:rsidRPr="00A67B9E" w:rsidRDefault="001C79A7" w:rsidP="00A67B9E">
      <w:pPr>
        <w:pStyle w:val="ListParagraph"/>
        <w:widowControl w:val="0"/>
        <w:numPr>
          <w:ilvl w:val="0"/>
          <w:numId w:val="1"/>
        </w:numPr>
        <w:tabs>
          <w:tab w:val="left" w:pos="716"/>
        </w:tabs>
        <w:autoSpaceDE w:val="0"/>
        <w:autoSpaceDN w:val="0"/>
        <w:adjustRightInd w:val="0"/>
        <w:spacing w:line="275" w:lineRule="exact"/>
        <w:rPr>
          <w:rFonts w:cs="Arial"/>
        </w:rPr>
      </w:pPr>
      <w:r w:rsidRPr="00A67B9E">
        <w:rPr>
          <w:rFonts w:cs="Arial"/>
          <w:b/>
          <w:bCs/>
          <w:spacing w:val="-14"/>
        </w:rPr>
        <w:t xml:space="preserve">Review </w:t>
      </w:r>
    </w:p>
    <w:p w:rsidR="001C79A7" w:rsidRPr="00A67B9E" w:rsidRDefault="001C79A7" w:rsidP="00A67B9E">
      <w:pPr>
        <w:widowControl w:val="0"/>
        <w:autoSpaceDE w:val="0"/>
        <w:autoSpaceDN w:val="0"/>
        <w:adjustRightInd w:val="0"/>
        <w:spacing w:line="275" w:lineRule="exact"/>
        <w:rPr>
          <w:rFonts w:cs="Arial"/>
          <w:spacing w:val="-2"/>
        </w:rPr>
      </w:pPr>
    </w:p>
    <w:p w:rsidR="001C79A7" w:rsidRPr="00337F3F" w:rsidRDefault="001C79A7" w:rsidP="00A67B9E">
      <w:pPr>
        <w:widowControl w:val="0"/>
        <w:autoSpaceDE w:val="0"/>
        <w:autoSpaceDN w:val="0"/>
        <w:adjustRightInd w:val="0"/>
        <w:spacing w:line="275" w:lineRule="exact"/>
        <w:rPr>
          <w:rFonts w:cs="Arial"/>
          <w:spacing w:val="-7"/>
        </w:rPr>
      </w:pPr>
      <w:r w:rsidRPr="00A67B9E">
        <w:rPr>
          <w:rFonts w:cs="Arial"/>
          <w:spacing w:val="-2"/>
        </w:rPr>
        <w:t>This Policy will be formally reviewed by the Local Authorities named in this paper in</w:t>
      </w:r>
      <w:r w:rsidRPr="00A67B9E">
        <w:rPr>
          <w:rFonts w:cs="Arial"/>
          <w:strike/>
          <w:spacing w:val="-7"/>
        </w:rPr>
        <w:t xml:space="preserve"> </w:t>
      </w:r>
      <w:r w:rsidRPr="00337F3F">
        <w:rPr>
          <w:rFonts w:cs="Arial"/>
          <w:spacing w:val="-7"/>
        </w:rPr>
        <w:t>Spring 2021 or earlier if there are changes to guidance or legislation which would impact on its use.</w:t>
      </w:r>
    </w:p>
    <w:p w:rsidR="005B448B" w:rsidRPr="00337F3F" w:rsidRDefault="005B448B" w:rsidP="00A67B9E">
      <w:pPr>
        <w:widowControl w:val="0"/>
        <w:autoSpaceDE w:val="0"/>
        <w:autoSpaceDN w:val="0"/>
        <w:adjustRightInd w:val="0"/>
        <w:spacing w:line="275" w:lineRule="exact"/>
        <w:rPr>
          <w:rFonts w:cs="Arial"/>
          <w:spacing w:val="-7"/>
        </w:rPr>
      </w:pPr>
    </w:p>
    <w:p w:rsidR="005B448B" w:rsidRPr="00337F3F" w:rsidRDefault="00B57742" w:rsidP="00A67B9E">
      <w:pPr>
        <w:pStyle w:val="ListParagraph"/>
        <w:widowControl w:val="0"/>
        <w:numPr>
          <w:ilvl w:val="0"/>
          <w:numId w:val="1"/>
        </w:numPr>
        <w:autoSpaceDE w:val="0"/>
        <w:autoSpaceDN w:val="0"/>
        <w:adjustRightInd w:val="0"/>
        <w:spacing w:line="240" w:lineRule="exact"/>
        <w:rPr>
          <w:rFonts w:cs="Arial"/>
        </w:rPr>
      </w:pPr>
      <w:r w:rsidRPr="00337F3F">
        <w:rPr>
          <w:rFonts w:cs="Arial"/>
          <w:b/>
          <w:bCs/>
          <w:spacing w:val="-6"/>
        </w:rPr>
        <w:t>Key References</w:t>
      </w:r>
    </w:p>
    <w:p w:rsidR="005B448B" w:rsidRPr="00A67B9E" w:rsidRDefault="005B448B" w:rsidP="00A67B9E">
      <w:pPr>
        <w:widowControl w:val="0"/>
        <w:autoSpaceDE w:val="0"/>
        <w:autoSpaceDN w:val="0"/>
        <w:adjustRightInd w:val="0"/>
        <w:spacing w:line="81" w:lineRule="exact"/>
        <w:rPr>
          <w:rFonts w:cs="Arial"/>
        </w:rPr>
      </w:pPr>
    </w:p>
    <w:p w:rsidR="005B448B" w:rsidRPr="00A67B9E" w:rsidRDefault="005B448B" w:rsidP="00A67B9E">
      <w:pPr>
        <w:widowControl w:val="0"/>
        <w:autoSpaceDE w:val="0"/>
        <w:autoSpaceDN w:val="0"/>
        <w:adjustRightInd w:val="0"/>
        <w:spacing w:line="240" w:lineRule="exact"/>
        <w:rPr>
          <w:rFonts w:cs="Arial"/>
        </w:rPr>
      </w:pPr>
    </w:p>
    <w:p w:rsidR="005B448B" w:rsidRPr="00A67B9E" w:rsidRDefault="005B448B" w:rsidP="00A67B9E">
      <w:pPr>
        <w:widowControl w:val="0"/>
        <w:autoSpaceDE w:val="0"/>
        <w:autoSpaceDN w:val="0"/>
        <w:adjustRightInd w:val="0"/>
        <w:spacing w:line="275" w:lineRule="exact"/>
        <w:rPr>
          <w:rFonts w:cs="Arial"/>
        </w:rPr>
      </w:pPr>
      <w:r w:rsidRPr="00A67B9E">
        <w:rPr>
          <w:rFonts w:cs="Arial"/>
          <w:spacing w:val="-2"/>
        </w:rPr>
        <w:t xml:space="preserve">Sexual Health Services: Key Principles for Cross Charging. Department of Health, </w:t>
      </w:r>
    </w:p>
    <w:p w:rsidR="005B448B" w:rsidRPr="00A67B9E" w:rsidRDefault="005B448B" w:rsidP="00A67B9E">
      <w:pPr>
        <w:widowControl w:val="0"/>
        <w:autoSpaceDE w:val="0"/>
        <w:autoSpaceDN w:val="0"/>
        <w:adjustRightInd w:val="0"/>
        <w:spacing w:line="275" w:lineRule="exact"/>
        <w:rPr>
          <w:rFonts w:cs="Arial"/>
        </w:rPr>
      </w:pPr>
      <w:r w:rsidRPr="00A67B9E">
        <w:rPr>
          <w:rFonts w:cs="Arial"/>
          <w:spacing w:val="-4"/>
        </w:rPr>
        <w:t xml:space="preserve">August 2013 (updated 2018) </w:t>
      </w:r>
    </w:p>
    <w:p w:rsidR="005B448B" w:rsidRPr="00A67B9E" w:rsidRDefault="0097140D" w:rsidP="00A67B9E">
      <w:pPr>
        <w:widowControl w:val="0"/>
        <w:autoSpaceDE w:val="0"/>
        <w:autoSpaceDN w:val="0"/>
        <w:adjustRightInd w:val="0"/>
        <w:spacing w:line="276" w:lineRule="exact"/>
        <w:rPr>
          <w:rFonts w:cs="Arial"/>
        </w:rPr>
      </w:pPr>
      <w:hyperlink r:id="rId9" w:history="1">
        <w:r w:rsidR="005B448B" w:rsidRPr="00A67B9E">
          <w:rPr>
            <w:rFonts w:cs="Arial"/>
            <w:color w:val="0000FA"/>
            <w:spacing w:val="-2"/>
            <w:u w:val="single"/>
          </w:rPr>
          <w:t>https://www.gov.uk/government/uploads/system/uploads/attachment_data/file/22632</w:t>
        </w:r>
        <w:r w:rsidR="005B448B" w:rsidRPr="00A67B9E">
          <w:rPr>
            <w:rFonts w:cs="Arial"/>
            <w:color w:val="0000FA"/>
            <w:spacing w:val="-2"/>
          </w:rPr>
          <w:t xml:space="preserve"> </w:t>
        </w:r>
      </w:hyperlink>
    </w:p>
    <w:p w:rsidR="005B448B" w:rsidRPr="00A67B9E" w:rsidRDefault="0097140D" w:rsidP="00A67B9E">
      <w:pPr>
        <w:widowControl w:val="0"/>
        <w:autoSpaceDE w:val="0"/>
        <w:autoSpaceDN w:val="0"/>
        <w:adjustRightInd w:val="0"/>
        <w:spacing w:line="275" w:lineRule="exact"/>
        <w:rPr>
          <w:rFonts w:cs="Arial"/>
          <w:color w:val="0000FA"/>
          <w:spacing w:val="-3"/>
        </w:rPr>
      </w:pPr>
      <w:hyperlink r:id="rId10" w:history="1">
        <w:r w:rsidR="005B448B" w:rsidRPr="00A67B9E">
          <w:rPr>
            <w:rFonts w:cs="Arial"/>
            <w:color w:val="0000FA"/>
            <w:spacing w:val="-3"/>
            <w:u w:val="single"/>
          </w:rPr>
          <w:t>5/Sexual_Health_Key_Principles_for_cross_charging.pdf</w:t>
        </w:r>
        <w:r w:rsidR="005B448B" w:rsidRPr="00A67B9E">
          <w:rPr>
            <w:rFonts w:cs="Arial"/>
            <w:color w:val="0000FA"/>
            <w:spacing w:val="-3"/>
          </w:rPr>
          <w:t xml:space="preserve"> </w:t>
        </w:r>
      </w:hyperlink>
    </w:p>
    <w:p w:rsidR="00B57742" w:rsidRPr="00A67B9E" w:rsidRDefault="00B57742" w:rsidP="00A67B9E">
      <w:pPr>
        <w:widowControl w:val="0"/>
        <w:autoSpaceDE w:val="0"/>
        <w:autoSpaceDN w:val="0"/>
        <w:adjustRightInd w:val="0"/>
        <w:spacing w:line="275" w:lineRule="exact"/>
        <w:rPr>
          <w:rFonts w:cs="Arial"/>
          <w:color w:val="0000FA"/>
          <w:spacing w:val="-3"/>
        </w:rPr>
      </w:pPr>
    </w:p>
    <w:p w:rsidR="00B57742" w:rsidRPr="00A67B9E" w:rsidRDefault="00B57742" w:rsidP="00A67B9E">
      <w:pPr>
        <w:pStyle w:val="NoSpacing"/>
        <w:rPr>
          <w:rFonts w:cs="Arial"/>
          <w:color w:val="0B0C0C"/>
          <w:lang w:val="en"/>
        </w:rPr>
      </w:pPr>
      <w:r w:rsidRPr="00A67B9E">
        <w:rPr>
          <w:rFonts w:cs="Arial"/>
          <w:color w:val="000000" w:themeColor="text1"/>
        </w:rPr>
        <w:t xml:space="preserve">PHE </w:t>
      </w:r>
      <w:r w:rsidRPr="00A67B9E">
        <w:rPr>
          <w:rFonts w:cs="Arial"/>
          <w:color w:val="000000" w:themeColor="text1"/>
          <w:lang w:val="en"/>
        </w:rPr>
        <w:t>sexual health commissioning guidance page (updated March 2018)</w:t>
      </w:r>
      <w:r w:rsidRPr="00A67B9E">
        <w:rPr>
          <w:rFonts w:cs="Arial"/>
          <w:color w:val="0B0C0C"/>
          <w:lang w:val="en"/>
        </w:rPr>
        <w:t xml:space="preserve"> </w:t>
      </w:r>
      <w:hyperlink r:id="rId11" w:history="1">
        <w:r w:rsidRPr="00A67B9E">
          <w:rPr>
            <w:rFonts w:cs="Arial"/>
            <w:color w:val="2E3191"/>
            <w:u w:val="single"/>
            <w:lang w:val="en"/>
          </w:rPr>
          <w:t>https://www.gov.uk/guidance/commissioning-regional-and-local-sexual-health-services</w:t>
        </w:r>
      </w:hyperlink>
    </w:p>
    <w:p w:rsidR="00B57742" w:rsidRPr="00A67B9E" w:rsidRDefault="00B57742" w:rsidP="00A67B9E">
      <w:pPr>
        <w:pStyle w:val="NoSpacing"/>
        <w:rPr>
          <w:rFonts w:cs="Arial"/>
          <w:color w:val="0B0C0C"/>
          <w:lang w:val="en"/>
        </w:rPr>
      </w:pPr>
    </w:p>
    <w:p w:rsidR="00B57742" w:rsidRPr="00A67B9E" w:rsidRDefault="00B57742" w:rsidP="00A67B9E">
      <w:pPr>
        <w:rPr>
          <w:rFonts w:cs="Arial"/>
          <w:color w:val="0B0C0C"/>
          <w:lang w:val="en"/>
        </w:rPr>
      </w:pPr>
      <w:r w:rsidRPr="00A67B9E">
        <w:rPr>
          <w:rFonts w:cs="Arial"/>
          <w:color w:val="0B0C0C"/>
          <w:lang w:val="en"/>
        </w:rPr>
        <w:br w:type="page"/>
      </w:r>
    </w:p>
    <w:p w:rsidR="00B57742" w:rsidRPr="00A67B9E" w:rsidRDefault="00B57742" w:rsidP="00A67B9E">
      <w:pPr>
        <w:pStyle w:val="NoSpacing"/>
        <w:rPr>
          <w:rFonts w:cs="Arial"/>
        </w:rPr>
      </w:pPr>
    </w:p>
    <w:p w:rsidR="00B57742" w:rsidRPr="00A67B9E" w:rsidRDefault="00B57742" w:rsidP="00A67B9E">
      <w:pPr>
        <w:widowControl w:val="0"/>
        <w:autoSpaceDE w:val="0"/>
        <w:autoSpaceDN w:val="0"/>
        <w:adjustRightInd w:val="0"/>
        <w:spacing w:line="275" w:lineRule="exact"/>
        <w:rPr>
          <w:rFonts w:cs="Arial"/>
        </w:rPr>
      </w:pPr>
    </w:p>
    <w:p w:rsidR="00C03FF9" w:rsidRPr="00A67B9E" w:rsidRDefault="00C03FF9" w:rsidP="00A67B9E">
      <w:pPr>
        <w:widowControl w:val="0"/>
        <w:autoSpaceDE w:val="0"/>
        <w:autoSpaceDN w:val="0"/>
        <w:adjustRightInd w:val="0"/>
        <w:spacing w:line="275" w:lineRule="exact"/>
        <w:jc w:val="center"/>
        <w:rPr>
          <w:rFonts w:cs="Arial"/>
        </w:rPr>
      </w:pPr>
      <w:r w:rsidRPr="00A67B9E">
        <w:rPr>
          <w:rFonts w:cs="Arial"/>
          <w:b/>
          <w:bCs/>
          <w:spacing w:val="-8"/>
        </w:rPr>
        <w:t xml:space="preserve">Appendix A: South East </w:t>
      </w:r>
      <w:r w:rsidRPr="00A67B9E">
        <w:rPr>
          <w:rFonts w:cs="Arial"/>
          <w:b/>
          <w:spacing w:val="-2"/>
        </w:rPr>
        <w:t xml:space="preserve">Backing Information Template for Out of Area Sexual Health Activity </w:t>
      </w:r>
      <w:r w:rsidRPr="00A67B9E">
        <w:rPr>
          <w:rFonts w:cs="Arial"/>
          <w:b/>
          <w:spacing w:val="-10"/>
        </w:rPr>
        <w:t>Invoices</w:t>
      </w:r>
    </w:p>
    <w:p w:rsidR="00C03FF9" w:rsidRPr="00A67B9E" w:rsidRDefault="00C03FF9" w:rsidP="00A67B9E">
      <w:pPr>
        <w:widowControl w:val="0"/>
        <w:autoSpaceDE w:val="0"/>
        <w:autoSpaceDN w:val="0"/>
        <w:adjustRightInd w:val="0"/>
        <w:spacing w:line="298" w:lineRule="exact"/>
        <w:rPr>
          <w:rFonts w:cs="Arial"/>
          <w:spacing w:val="-10"/>
        </w:rPr>
      </w:pPr>
    </w:p>
    <w:p w:rsidR="00C03FF9" w:rsidRPr="00A67B9E" w:rsidRDefault="00C03FF9" w:rsidP="00A67B9E">
      <w:pPr>
        <w:widowControl w:val="0"/>
        <w:autoSpaceDE w:val="0"/>
        <w:autoSpaceDN w:val="0"/>
        <w:adjustRightInd w:val="0"/>
        <w:spacing w:line="276" w:lineRule="exact"/>
        <w:rPr>
          <w:rFonts w:cs="Arial"/>
          <w:spacing w:val="-10"/>
        </w:rPr>
      </w:pPr>
    </w:p>
    <w:p w:rsidR="00C03FF9" w:rsidRPr="00A67B9E" w:rsidRDefault="0008791E" w:rsidP="00A67B9E">
      <w:pPr>
        <w:rPr>
          <w:rFonts w:cs="Arial"/>
          <w:spacing w:val="-10"/>
        </w:rPr>
      </w:pPr>
      <w:r>
        <w:rPr>
          <w:rFonts w:cs="Arial"/>
          <w:spacing w:val="-10"/>
        </w:rPr>
        <w:object w:dxaOrig="1510" w:dyaOrig="986" w14:anchorId="6E398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2" o:title=""/>
          </v:shape>
          <o:OLEObject Type="Embed" ProgID="Excel.Sheet.12" ShapeID="_x0000_i1025" DrawAspect="Icon" ObjectID="_1661933352" r:id="rId13"/>
        </w:object>
      </w:r>
      <w:r w:rsidR="00C03FF9" w:rsidRPr="00A67B9E">
        <w:rPr>
          <w:rFonts w:cs="Arial"/>
          <w:spacing w:val="-10"/>
        </w:rPr>
        <w:br w:type="page"/>
      </w:r>
    </w:p>
    <w:p w:rsidR="00C03FF9" w:rsidRPr="00A67B9E" w:rsidRDefault="00C03FF9" w:rsidP="00A67B9E">
      <w:pPr>
        <w:widowControl w:val="0"/>
        <w:autoSpaceDE w:val="0"/>
        <w:autoSpaceDN w:val="0"/>
        <w:adjustRightInd w:val="0"/>
        <w:spacing w:line="276" w:lineRule="exact"/>
        <w:rPr>
          <w:rFonts w:cs="Arial"/>
          <w:spacing w:val="-10"/>
        </w:rPr>
      </w:pPr>
    </w:p>
    <w:p w:rsidR="00C03FF9" w:rsidRPr="00A67B9E" w:rsidRDefault="00C03FF9" w:rsidP="00A67B9E">
      <w:pPr>
        <w:widowControl w:val="0"/>
        <w:autoSpaceDE w:val="0"/>
        <w:autoSpaceDN w:val="0"/>
        <w:adjustRightInd w:val="0"/>
        <w:spacing w:line="275" w:lineRule="exact"/>
        <w:jc w:val="center"/>
        <w:rPr>
          <w:rFonts w:cs="Arial"/>
        </w:rPr>
      </w:pPr>
      <w:r w:rsidRPr="00A67B9E">
        <w:rPr>
          <w:rFonts w:cs="Arial"/>
          <w:b/>
          <w:bCs/>
          <w:spacing w:val="-2"/>
        </w:rPr>
        <w:t>Appendix B: Extract from the Local Authorities (Public Health Functions and</w:t>
      </w:r>
    </w:p>
    <w:p w:rsidR="00C03FF9" w:rsidRPr="00A67B9E" w:rsidRDefault="00C03FF9" w:rsidP="00A67B9E">
      <w:pPr>
        <w:widowControl w:val="0"/>
        <w:autoSpaceDE w:val="0"/>
        <w:autoSpaceDN w:val="0"/>
        <w:adjustRightInd w:val="0"/>
        <w:spacing w:line="275" w:lineRule="exact"/>
        <w:jc w:val="center"/>
        <w:rPr>
          <w:rFonts w:cs="Arial"/>
          <w:b/>
          <w:bCs/>
          <w:spacing w:val="-3"/>
        </w:rPr>
      </w:pPr>
      <w:r w:rsidRPr="00A67B9E">
        <w:rPr>
          <w:rFonts w:cs="Arial"/>
          <w:b/>
          <w:bCs/>
          <w:spacing w:val="-3"/>
        </w:rPr>
        <w:t>Entry to Premises by Local Healthwatch Representatives) Regulations 2013</w:t>
      </w:r>
    </w:p>
    <w:p w:rsidR="00C03FF9" w:rsidRPr="00A67B9E" w:rsidRDefault="00C03FF9" w:rsidP="00A67B9E">
      <w:pPr>
        <w:widowControl w:val="0"/>
        <w:autoSpaceDE w:val="0"/>
        <w:autoSpaceDN w:val="0"/>
        <w:adjustRightInd w:val="0"/>
        <w:spacing w:line="275" w:lineRule="exact"/>
        <w:jc w:val="center"/>
        <w:rPr>
          <w:rFonts w:cs="Arial"/>
        </w:rPr>
      </w:pPr>
    </w:p>
    <w:p w:rsidR="00C03FF9" w:rsidRPr="00A67B9E" w:rsidRDefault="00C03FF9" w:rsidP="00A67B9E">
      <w:pPr>
        <w:widowControl w:val="0"/>
        <w:autoSpaceDE w:val="0"/>
        <w:autoSpaceDN w:val="0"/>
        <w:adjustRightInd w:val="0"/>
        <w:spacing w:line="276" w:lineRule="exact"/>
        <w:rPr>
          <w:rFonts w:cs="Arial"/>
          <w:spacing w:val="-10"/>
        </w:rPr>
      </w:pPr>
    </w:p>
    <w:p w:rsidR="00C03FF9" w:rsidRPr="00A67B9E" w:rsidRDefault="00C03FF9" w:rsidP="00A67B9E">
      <w:pPr>
        <w:widowControl w:val="0"/>
        <w:autoSpaceDE w:val="0"/>
        <w:autoSpaceDN w:val="0"/>
        <w:adjustRightInd w:val="0"/>
        <w:spacing w:line="240" w:lineRule="exact"/>
        <w:rPr>
          <w:rFonts w:cs="Arial"/>
        </w:rPr>
      </w:pPr>
      <w:r w:rsidRPr="00A67B9E">
        <w:rPr>
          <w:rFonts w:cs="Arial"/>
          <w:b/>
          <w:bCs/>
          <w:spacing w:val="-5"/>
        </w:rPr>
        <w:t xml:space="preserve">Sexual Health Services </w:t>
      </w:r>
    </w:p>
    <w:p w:rsidR="00C03FF9" w:rsidRPr="00A67B9E" w:rsidRDefault="00B920B6" w:rsidP="00A67B9E">
      <w:pPr>
        <w:widowControl w:val="0"/>
        <w:autoSpaceDE w:val="0"/>
        <w:autoSpaceDN w:val="0"/>
        <w:adjustRightInd w:val="0"/>
        <w:spacing w:line="437" w:lineRule="exact"/>
        <w:ind w:firstLine="170"/>
        <w:rPr>
          <w:rFonts w:cs="Arial"/>
        </w:rPr>
      </w:pPr>
      <w:r w:rsidRPr="00A67B9E">
        <w:rPr>
          <w:rFonts w:cs="Arial"/>
          <w:spacing w:val="1"/>
        </w:rPr>
        <w:t>(</w:t>
      </w:r>
      <w:r w:rsidR="00C03FF9" w:rsidRPr="00A67B9E">
        <w:rPr>
          <w:rFonts w:cs="Arial"/>
          <w:spacing w:val="1"/>
        </w:rPr>
        <w:t xml:space="preserve">1) Subject to paragraphs (3) and (4), each local authority shall provide, or </w:t>
      </w:r>
    </w:p>
    <w:p w:rsidR="00C03FF9" w:rsidRPr="00A67B9E" w:rsidRDefault="00C03FF9" w:rsidP="00A67B9E">
      <w:pPr>
        <w:widowControl w:val="0"/>
        <w:autoSpaceDE w:val="0"/>
        <w:autoSpaceDN w:val="0"/>
        <w:adjustRightInd w:val="0"/>
        <w:spacing w:line="272" w:lineRule="exact"/>
        <w:rPr>
          <w:rFonts w:cs="Arial"/>
        </w:rPr>
      </w:pPr>
      <w:r w:rsidRPr="00A67B9E">
        <w:rPr>
          <w:rFonts w:cs="Arial"/>
        </w:rPr>
        <w:t xml:space="preserve">shall </w:t>
      </w:r>
      <w:proofErr w:type="gramStart"/>
      <w:r w:rsidRPr="00A67B9E">
        <w:rPr>
          <w:rFonts w:cs="Arial"/>
        </w:rPr>
        <w:t>make arrangements</w:t>
      </w:r>
      <w:proofErr w:type="gramEnd"/>
      <w:r w:rsidRPr="00A67B9E">
        <w:rPr>
          <w:rFonts w:cs="Arial"/>
        </w:rPr>
        <w:t xml:space="preserve"> to secure the provision of, sexual health services in its </w:t>
      </w:r>
    </w:p>
    <w:p w:rsidR="00C03FF9" w:rsidRPr="00A67B9E" w:rsidRDefault="00C03FF9" w:rsidP="00A67B9E">
      <w:pPr>
        <w:widowControl w:val="0"/>
        <w:autoSpaceDE w:val="0"/>
        <w:autoSpaceDN w:val="0"/>
        <w:adjustRightInd w:val="0"/>
        <w:spacing w:line="276" w:lineRule="exact"/>
        <w:rPr>
          <w:rFonts w:cs="Arial"/>
        </w:rPr>
      </w:pPr>
      <w:r w:rsidRPr="00A67B9E">
        <w:rPr>
          <w:rFonts w:cs="Arial"/>
          <w:spacing w:val="-18"/>
        </w:rPr>
        <w:t xml:space="preserve">area </w:t>
      </w:r>
    </w:p>
    <w:p w:rsidR="00C03FF9" w:rsidRPr="00A67B9E" w:rsidRDefault="00C03FF9" w:rsidP="00A67B9E">
      <w:pPr>
        <w:widowControl w:val="0"/>
        <w:autoSpaceDE w:val="0"/>
        <w:autoSpaceDN w:val="0"/>
        <w:adjustRightInd w:val="0"/>
        <w:spacing w:line="356" w:lineRule="exact"/>
        <w:ind w:firstLine="340"/>
        <w:rPr>
          <w:rFonts w:cs="Arial"/>
        </w:rPr>
      </w:pPr>
      <w:r w:rsidRPr="00A67B9E">
        <w:rPr>
          <w:rFonts w:cs="Arial"/>
        </w:rPr>
        <w:t xml:space="preserve">(a) by exercising the public health functions of the Secretary of State relating to </w:t>
      </w:r>
    </w:p>
    <w:p w:rsidR="00C03FF9" w:rsidRPr="00A67B9E" w:rsidRDefault="00C03FF9" w:rsidP="00A67B9E">
      <w:pPr>
        <w:widowControl w:val="0"/>
        <w:autoSpaceDE w:val="0"/>
        <w:autoSpaceDN w:val="0"/>
        <w:adjustRightInd w:val="0"/>
        <w:spacing w:line="276" w:lineRule="exact"/>
        <w:ind w:left="737"/>
        <w:rPr>
          <w:rFonts w:cs="Arial"/>
        </w:rPr>
      </w:pPr>
      <w:r w:rsidRPr="00A67B9E">
        <w:rPr>
          <w:rFonts w:cs="Arial"/>
        </w:rPr>
        <w:t xml:space="preserve">the provision of contraceptive services under paragraph 8 of Schedule 1 to </w:t>
      </w:r>
      <w:r w:rsidRPr="00A67B9E">
        <w:rPr>
          <w:rFonts w:cs="Arial"/>
          <w:spacing w:val="1"/>
        </w:rPr>
        <w:t xml:space="preserve">the Act, to the extent that those functions consist in the provision of open </w:t>
      </w:r>
    </w:p>
    <w:p w:rsidR="00C03FF9" w:rsidRPr="00A67B9E" w:rsidRDefault="00C03FF9" w:rsidP="00A67B9E">
      <w:pPr>
        <w:widowControl w:val="0"/>
        <w:autoSpaceDE w:val="0"/>
        <w:autoSpaceDN w:val="0"/>
        <w:adjustRightInd w:val="0"/>
        <w:spacing w:line="276" w:lineRule="exact"/>
        <w:ind w:left="737"/>
        <w:rPr>
          <w:rFonts w:cs="Arial"/>
        </w:rPr>
      </w:pPr>
      <w:r w:rsidRPr="00A67B9E">
        <w:rPr>
          <w:rFonts w:cs="Arial"/>
          <w:spacing w:val="-5"/>
        </w:rPr>
        <w:t xml:space="preserve">access services; and </w:t>
      </w:r>
    </w:p>
    <w:p w:rsidR="00C03FF9" w:rsidRPr="00A67B9E" w:rsidRDefault="00C03FF9" w:rsidP="00A67B9E">
      <w:pPr>
        <w:widowControl w:val="0"/>
        <w:autoSpaceDE w:val="0"/>
        <w:autoSpaceDN w:val="0"/>
        <w:adjustRightInd w:val="0"/>
        <w:spacing w:line="357" w:lineRule="exact"/>
        <w:ind w:firstLine="340"/>
        <w:rPr>
          <w:rFonts w:cs="Arial"/>
        </w:rPr>
      </w:pPr>
      <w:r w:rsidRPr="00A67B9E">
        <w:rPr>
          <w:rFonts w:cs="Arial"/>
          <w:spacing w:val="1"/>
        </w:rPr>
        <w:t xml:space="preserve">(b) by exercising the public health functions of local authorities pursuant to </w:t>
      </w:r>
    </w:p>
    <w:p w:rsidR="00C03FF9" w:rsidRPr="00A67B9E" w:rsidRDefault="00C03FF9" w:rsidP="00A67B9E">
      <w:pPr>
        <w:widowControl w:val="0"/>
        <w:autoSpaceDE w:val="0"/>
        <w:autoSpaceDN w:val="0"/>
        <w:adjustRightInd w:val="0"/>
        <w:spacing w:line="274" w:lineRule="exact"/>
        <w:ind w:firstLine="736"/>
        <w:rPr>
          <w:rFonts w:cs="Arial"/>
        </w:rPr>
      </w:pPr>
      <w:r w:rsidRPr="00A67B9E">
        <w:rPr>
          <w:rFonts w:cs="Arial"/>
          <w:spacing w:val="-3"/>
        </w:rPr>
        <w:t xml:space="preserve">section 2B of the Act in the provision of open access services— </w:t>
      </w:r>
    </w:p>
    <w:p w:rsidR="00C03FF9" w:rsidRPr="00A67B9E" w:rsidRDefault="00C03FF9" w:rsidP="00A67B9E">
      <w:pPr>
        <w:widowControl w:val="0"/>
        <w:autoSpaceDE w:val="0"/>
        <w:autoSpaceDN w:val="0"/>
        <w:adjustRightInd w:val="0"/>
        <w:spacing w:line="356" w:lineRule="exact"/>
        <w:ind w:left="809"/>
        <w:rPr>
          <w:rFonts w:cs="Arial"/>
        </w:rPr>
      </w:pPr>
      <w:r w:rsidRPr="00A67B9E">
        <w:rPr>
          <w:rFonts w:cs="Arial"/>
          <w:spacing w:val="-2"/>
        </w:rPr>
        <w:t>(</w:t>
      </w:r>
      <w:proofErr w:type="spellStart"/>
      <w:r w:rsidRPr="00A67B9E">
        <w:rPr>
          <w:rFonts w:cs="Arial"/>
          <w:spacing w:val="-2"/>
        </w:rPr>
        <w:t>i</w:t>
      </w:r>
      <w:proofErr w:type="spellEnd"/>
      <w:r w:rsidRPr="00A67B9E">
        <w:rPr>
          <w:rFonts w:cs="Arial"/>
          <w:spacing w:val="-2"/>
        </w:rPr>
        <w:t xml:space="preserve">) for preventing the spread of sexually transmitted infections; [and] </w:t>
      </w:r>
    </w:p>
    <w:p w:rsidR="00C03FF9" w:rsidRPr="00A67B9E" w:rsidRDefault="00C03FF9" w:rsidP="00A67B9E">
      <w:pPr>
        <w:widowControl w:val="0"/>
        <w:autoSpaceDE w:val="0"/>
        <w:autoSpaceDN w:val="0"/>
        <w:adjustRightInd w:val="0"/>
        <w:spacing w:line="355" w:lineRule="exact"/>
        <w:ind w:left="754"/>
        <w:rPr>
          <w:rFonts w:cs="Arial"/>
        </w:rPr>
      </w:pPr>
      <w:r w:rsidRPr="00A67B9E">
        <w:rPr>
          <w:rFonts w:cs="Arial"/>
          <w:spacing w:val="-2"/>
        </w:rPr>
        <w:t xml:space="preserve">(ii) for treating and caring for persons with such infections; and </w:t>
      </w:r>
    </w:p>
    <w:p w:rsidR="00C03FF9" w:rsidRPr="00A67B9E" w:rsidRDefault="00C03FF9" w:rsidP="00A67B9E">
      <w:pPr>
        <w:widowControl w:val="0"/>
        <w:autoSpaceDE w:val="0"/>
        <w:autoSpaceDN w:val="0"/>
        <w:adjustRightInd w:val="0"/>
        <w:spacing w:line="357" w:lineRule="exact"/>
        <w:ind w:left="701"/>
        <w:rPr>
          <w:rFonts w:cs="Arial"/>
        </w:rPr>
      </w:pPr>
      <w:r w:rsidRPr="00A67B9E">
        <w:rPr>
          <w:rFonts w:cs="Arial"/>
          <w:spacing w:val="-2"/>
        </w:rPr>
        <w:t xml:space="preserve">(iii) [for notifying sexual partners of persons with such infections.] </w:t>
      </w:r>
    </w:p>
    <w:p w:rsidR="00C03FF9" w:rsidRPr="00A67B9E" w:rsidRDefault="00C03FF9" w:rsidP="00A67B9E">
      <w:pPr>
        <w:widowControl w:val="0"/>
        <w:autoSpaceDE w:val="0"/>
        <w:autoSpaceDN w:val="0"/>
        <w:adjustRightInd w:val="0"/>
        <w:spacing w:line="355" w:lineRule="exact"/>
        <w:ind w:firstLine="170"/>
        <w:rPr>
          <w:rFonts w:cs="Arial"/>
        </w:rPr>
      </w:pPr>
      <w:r w:rsidRPr="00A67B9E">
        <w:rPr>
          <w:rFonts w:cs="Arial"/>
        </w:rPr>
        <w:t xml:space="preserve">(2) In paragraph (1), references to the provision of open access services shall be </w:t>
      </w:r>
    </w:p>
    <w:p w:rsidR="00C03FF9" w:rsidRPr="00A67B9E" w:rsidRDefault="00C03FF9" w:rsidP="00A67B9E">
      <w:pPr>
        <w:widowControl w:val="0"/>
        <w:autoSpaceDE w:val="0"/>
        <w:autoSpaceDN w:val="0"/>
        <w:adjustRightInd w:val="0"/>
        <w:spacing w:line="273" w:lineRule="exact"/>
        <w:rPr>
          <w:rFonts w:cs="Arial"/>
        </w:rPr>
      </w:pPr>
      <w:r w:rsidRPr="00A67B9E">
        <w:rPr>
          <w:rFonts w:cs="Arial"/>
          <w:spacing w:val="-1"/>
        </w:rPr>
        <w:t xml:space="preserve">construed to mean that such services must be universally available for the benefit of </w:t>
      </w:r>
      <w:r w:rsidRPr="00A67B9E">
        <w:rPr>
          <w:rFonts w:cs="Arial"/>
          <w:spacing w:val="-5"/>
        </w:rPr>
        <w:t xml:space="preserve">all persons present in the local authority's area. </w:t>
      </w:r>
    </w:p>
    <w:p w:rsidR="00C03FF9" w:rsidRPr="00A67B9E" w:rsidRDefault="00C03FF9" w:rsidP="00A67B9E">
      <w:pPr>
        <w:widowControl w:val="0"/>
        <w:autoSpaceDE w:val="0"/>
        <w:autoSpaceDN w:val="0"/>
        <w:adjustRightInd w:val="0"/>
        <w:spacing w:line="356" w:lineRule="exact"/>
        <w:ind w:firstLine="170"/>
        <w:rPr>
          <w:rFonts w:cs="Arial"/>
        </w:rPr>
      </w:pPr>
      <w:r w:rsidRPr="00A67B9E">
        <w:rPr>
          <w:rFonts w:cs="Arial"/>
        </w:rPr>
        <w:t xml:space="preserve">(3) In exercising its functions in relation to the provision of contraceptive services </w:t>
      </w:r>
    </w:p>
    <w:p w:rsidR="00C03FF9" w:rsidRPr="00A67B9E" w:rsidRDefault="00C03FF9" w:rsidP="00A67B9E">
      <w:pPr>
        <w:widowControl w:val="0"/>
        <w:autoSpaceDE w:val="0"/>
        <w:autoSpaceDN w:val="0"/>
        <w:adjustRightInd w:val="0"/>
        <w:spacing w:line="275" w:lineRule="exact"/>
        <w:rPr>
          <w:rFonts w:cs="Arial"/>
        </w:rPr>
      </w:pPr>
      <w:r w:rsidRPr="00A67B9E">
        <w:rPr>
          <w:rFonts w:cs="Arial"/>
        </w:rPr>
        <w:t xml:space="preserve">under sub-paragraph (1)(a), each local authority shall ensure that all persons in its </w:t>
      </w:r>
      <w:r w:rsidRPr="00A67B9E">
        <w:rPr>
          <w:rFonts w:cs="Arial"/>
          <w:spacing w:val="1"/>
        </w:rPr>
        <w:t xml:space="preserve">area are provided with advice on, and reasonable access to, a broad range of </w:t>
      </w:r>
      <w:r w:rsidRPr="00A67B9E">
        <w:rPr>
          <w:rFonts w:cs="Arial"/>
          <w:spacing w:val="-3"/>
        </w:rPr>
        <w:t xml:space="preserve">contraceptive substances and appliances. </w:t>
      </w:r>
    </w:p>
    <w:p w:rsidR="00C03FF9" w:rsidRPr="00A67B9E" w:rsidRDefault="00C03FF9" w:rsidP="00A67B9E">
      <w:pPr>
        <w:widowControl w:val="0"/>
        <w:autoSpaceDE w:val="0"/>
        <w:autoSpaceDN w:val="0"/>
        <w:adjustRightInd w:val="0"/>
        <w:spacing w:line="357" w:lineRule="exact"/>
        <w:ind w:firstLine="170"/>
        <w:rPr>
          <w:rFonts w:cs="Arial"/>
        </w:rPr>
      </w:pPr>
      <w:r w:rsidRPr="00A67B9E">
        <w:rPr>
          <w:rFonts w:cs="Arial"/>
        </w:rPr>
        <w:t xml:space="preserve">(4) The duty of the local authority under sub-paragraph (1)(a) does not include a </w:t>
      </w:r>
    </w:p>
    <w:p w:rsidR="00C03FF9" w:rsidRPr="00A67B9E" w:rsidRDefault="00C03FF9" w:rsidP="00A67B9E">
      <w:pPr>
        <w:widowControl w:val="0"/>
        <w:autoSpaceDE w:val="0"/>
        <w:autoSpaceDN w:val="0"/>
        <w:adjustRightInd w:val="0"/>
        <w:spacing w:line="273" w:lineRule="exact"/>
        <w:rPr>
          <w:rFonts w:cs="Arial"/>
        </w:rPr>
      </w:pPr>
      <w:r w:rsidRPr="00A67B9E">
        <w:rPr>
          <w:rFonts w:cs="Arial"/>
        </w:rPr>
        <w:t xml:space="preserve">requirement to offer to any person facilities and services relating to procedures for </w:t>
      </w:r>
      <w:r w:rsidRPr="00A67B9E">
        <w:rPr>
          <w:rFonts w:cs="Arial"/>
          <w:spacing w:val="2"/>
        </w:rPr>
        <w:t xml:space="preserve">sterilisation or vasectomy, other than the giving of preliminary advice on the </w:t>
      </w:r>
      <w:r w:rsidRPr="00A67B9E">
        <w:rPr>
          <w:rFonts w:cs="Arial"/>
        </w:rPr>
        <w:t xml:space="preserve">availability of those procedures as an appropriate method of contraception for the </w:t>
      </w:r>
      <w:r w:rsidRPr="00A67B9E">
        <w:rPr>
          <w:rFonts w:cs="Arial"/>
          <w:spacing w:val="-6"/>
        </w:rPr>
        <w:t xml:space="preserve">person concerned. </w:t>
      </w:r>
    </w:p>
    <w:p w:rsidR="00C03FF9" w:rsidRPr="00A67B9E" w:rsidRDefault="00C03FF9" w:rsidP="00A67B9E">
      <w:pPr>
        <w:widowControl w:val="0"/>
        <w:autoSpaceDE w:val="0"/>
        <w:autoSpaceDN w:val="0"/>
        <w:adjustRightInd w:val="0"/>
        <w:spacing w:line="358" w:lineRule="exact"/>
        <w:ind w:firstLine="170"/>
        <w:rPr>
          <w:rFonts w:cs="Arial"/>
        </w:rPr>
      </w:pPr>
      <w:r w:rsidRPr="00A67B9E">
        <w:rPr>
          <w:rFonts w:cs="Arial"/>
        </w:rPr>
        <w:t xml:space="preserve">(5) The duty of the local authority under sub-paragraph (1)(b) does not include a </w:t>
      </w:r>
    </w:p>
    <w:p w:rsidR="00C03FF9" w:rsidRPr="00A67B9E" w:rsidRDefault="00C03FF9" w:rsidP="00A67B9E">
      <w:pPr>
        <w:widowControl w:val="0"/>
        <w:autoSpaceDE w:val="0"/>
        <w:autoSpaceDN w:val="0"/>
        <w:adjustRightInd w:val="0"/>
        <w:spacing w:line="273" w:lineRule="exact"/>
        <w:rPr>
          <w:rFonts w:cs="Arial"/>
          <w:spacing w:val="-4"/>
        </w:rPr>
      </w:pPr>
      <w:r w:rsidRPr="00A67B9E">
        <w:rPr>
          <w:rFonts w:cs="Arial"/>
        </w:rPr>
        <w:t xml:space="preserve">requirement to offer facilities and services for treating or caring for persons infected </w:t>
      </w:r>
      <w:r w:rsidRPr="00A67B9E">
        <w:rPr>
          <w:rFonts w:cs="Arial"/>
          <w:spacing w:val="-4"/>
        </w:rPr>
        <w:t xml:space="preserve">with Human Immunodeficiency Virus. </w:t>
      </w:r>
    </w:p>
    <w:p w:rsidR="00C03FF9" w:rsidRPr="00A67B9E" w:rsidRDefault="00C03FF9" w:rsidP="00A67B9E">
      <w:pPr>
        <w:rPr>
          <w:rFonts w:cs="Arial"/>
          <w:spacing w:val="-4"/>
        </w:rPr>
      </w:pPr>
      <w:r w:rsidRPr="00A67B9E">
        <w:rPr>
          <w:rFonts w:cs="Arial"/>
          <w:spacing w:val="-4"/>
        </w:rPr>
        <w:br w:type="page"/>
      </w:r>
    </w:p>
    <w:p w:rsidR="00C03FF9" w:rsidRPr="00A67B9E" w:rsidRDefault="00C03FF9" w:rsidP="00A67B9E">
      <w:pPr>
        <w:widowControl w:val="0"/>
        <w:autoSpaceDE w:val="0"/>
        <w:autoSpaceDN w:val="0"/>
        <w:adjustRightInd w:val="0"/>
        <w:spacing w:line="273" w:lineRule="exact"/>
        <w:rPr>
          <w:rFonts w:cs="Arial"/>
          <w:spacing w:val="-4"/>
        </w:rPr>
      </w:pPr>
    </w:p>
    <w:p w:rsidR="00C03FF9" w:rsidRPr="00A67B9E" w:rsidRDefault="00C03FF9" w:rsidP="00A67B9E">
      <w:pPr>
        <w:widowControl w:val="0"/>
        <w:autoSpaceDE w:val="0"/>
        <w:autoSpaceDN w:val="0"/>
        <w:adjustRightInd w:val="0"/>
        <w:spacing w:line="273" w:lineRule="exact"/>
        <w:jc w:val="center"/>
        <w:rPr>
          <w:rFonts w:cs="Arial"/>
          <w:b/>
          <w:spacing w:val="-4"/>
        </w:rPr>
      </w:pPr>
      <w:r w:rsidRPr="00A67B9E">
        <w:rPr>
          <w:rFonts w:cs="Arial"/>
          <w:b/>
          <w:spacing w:val="-4"/>
        </w:rPr>
        <w:t>Appendix C: Glossary of Terms</w:t>
      </w:r>
    </w:p>
    <w:p w:rsidR="00C03FF9" w:rsidRPr="00A67B9E" w:rsidRDefault="00C03FF9" w:rsidP="00A67B9E">
      <w:pPr>
        <w:widowControl w:val="0"/>
        <w:autoSpaceDE w:val="0"/>
        <w:autoSpaceDN w:val="0"/>
        <w:adjustRightInd w:val="0"/>
        <w:spacing w:line="273" w:lineRule="exact"/>
        <w:jc w:val="center"/>
        <w:rPr>
          <w:rFonts w:cs="Arial"/>
          <w:b/>
          <w:spacing w:val="-4"/>
        </w:rPr>
      </w:pPr>
    </w:p>
    <w:tbl>
      <w:tblPr>
        <w:tblStyle w:val="TableGrid"/>
        <w:tblW w:w="0" w:type="auto"/>
        <w:tblLook w:val="04A0" w:firstRow="1" w:lastRow="0" w:firstColumn="1" w:lastColumn="0" w:noHBand="0" w:noVBand="1"/>
      </w:tblPr>
      <w:tblGrid>
        <w:gridCol w:w="4476"/>
        <w:gridCol w:w="4540"/>
      </w:tblGrid>
      <w:tr w:rsidR="00C03FF9" w:rsidRPr="005A2014" w:rsidTr="005A2014">
        <w:tc>
          <w:tcPr>
            <w:tcW w:w="4621" w:type="dxa"/>
          </w:tcPr>
          <w:p w:rsidR="00C03FF9" w:rsidRPr="005A2014" w:rsidRDefault="005B448B" w:rsidP="00A67B9E">
            <w:pPr>
              <w:widowControl w:val="0"/>
              <w:autoSpaceDE w:val="0"/>
              <w:autoSpaceDN w:val="0"/>
              <w:adjustRightInd w:val="0"/>
              <w:spacing w:line="273" w:lineRule="exact"/>
              <w:rPr>
                <w:rFonts w:cs="Arial"/>
                <w:b/>
                <w:spacing w:val="-4"/>
              </w:rPr>
            </w:pPr>
            <w:r w:rsidRPr="005A2014">
              <w:rPr>
                <w:rFonts w:cs="Arial"/>
                <w:b/>
                <w:spacing w:val="-4"/>
              </w:rPr>
              <w:t>Term</w:t>
            </w:r>
          </w:p>
        </w:tc>
        <w:tc>
          <w:tcPr>
            <w:tcW w:w="4621" w:type="dxa"/>
          </w:tcPr>
          <w:p w:rsidR="00C03FF9" w:rsidRPr="005A2014" w:rsidRDefault="005B448B" w:rsidP="00A67B9E">
            <w:pPr>
              <w:widowControl w:val="0"/>
              <w:autoSpaceDE w:val="0"/>
              <w:autoSpaceDN w:val="0"/>
              <w:adjustRightInd w:val="0"/>
              <w:spacing w:line="273" w:lineRule="exact"/>
              <w:rPr>
                <w:rFonts w:cs="Arial"/>
                <w:b/>
                <w:spacing w:val="-4"/>
              </w:rPr>
            </w:pPr>
            <w:r w:rsidRPr="005A2014">
              <w:rPr>
                <w:rFonts w:cs="Arial"/>
                <w:b/>
                <w:spacing w:val="-4"/>
              </w:rPr>
              <w:t>Definition</w:t>
            </w:r>
          </w:p>
        </w:tc>
      </w:tr>
      <w:tr w:rsidR="00C03FF9" w:rsidRPr="005A2014" w:rsidTr="005A2014">
        <w:tc>
          <w:tcPr>
            <w:tcW w:w="4621" w:type="dxa"/>
          </w:tcPr>
          <w:p w:rsidR="00C03FF9" w:rsidRPr="005A2014" w:rsidRDefault="00C03FF9" w:rsidP="00A67B9E">
            <w:pPr>
              <w:widowControl w:val="0"/>
              <w:autoSpaceDE w:val="0"/>
              <w:autoSpaceDN w:val="0"/>
              <w:adjustRightInd w:val="0"/>
              <w:spacing w:line="273" w:lineRule="exact"/>
              <w:rPr>
                <w:rFonts w:cs="Arial"/>
                <w:b/>
                <w:spacing w:val="-4"/>
              </w:rPr>
            </w:pPr>
            <w:r w:rsidRPr="005A2014">
              <w:rPr>
                <w:rFonts w:cs="Arial"/>
                <w:b/>
                <w:spacing w:val="-4"/>
              </w:rPr>
              <w:t>Contraception or Reproductive Health Services</w:t>
            </w:r>
          </w:p>
        </w:tc>
        <w:tc>
          <w:tcPr>
            <w:tcW w:w="4621" w:type="dxa"/>
          </w:tcPr>
          <w:p w:rsidR="005B448B" w:rsidRPr="005A2014" w:rsidRDefault="005B448B" w:rsidP="00A67B9E">
            <w:pPr>
              <w:widowControl w:val="0"/>
              <w:tabs>
                <w:tab w:val="left" w:pos="4608"/>
              </w:tabs>
              <w:autoSpaceDE w:val="0"/>
              <w:autoSpaceDN w:val="0"/>
              <w:adjustRightInd w:val="0"/>
              <w:spacing w:line="275" w:lineRule="exact"/>
              <w:rPr>
                <w:rFonts w:cs="Arial"/>
              </w:rPr>
            </w:pPr>
            <w:r w:rsidRPr="005A2014">
              <w:rPr>
                <w:rFonts w:cs="Arial"/>
                <w:spacing w:val="-3"/>
              </w:rPr>
              <w:t xml:space="preserve">Services provided by specialist </w:t>
            </w:r>
          </w:p>
          <w:p w:rsidR="00C03FF9" w:rsidRPr="005A2014" w:rsidRDefault="005B448B" w:rsidP="00A67B9E">
            <w:pPr>
              <w:widowControl w:val="0"/>
              <w:autoSpaceDE w:val="0"/>
              <w:autoSpaceDN w:val="0"/>
              <w:adjustRightInd w:val="0"/>
              <w:spacing w:line="273" w:lineRule="exact"/>
              <w:rPr>
                <w:rFonts w:cs="Arial"/>
                <w:b/>
                <w:spacing w:val="-4"/>
              </w:rPr>
            </w:pPr>
            <w:r w:rsidRPr="005A2014">
              <w:rPr>
                <w:rFonts w:cs="Arial"/>
                <w:spacing w:val="-3"/>
              </w:rPr>
              <w:t xml:space="preserve">sexual health services and commissioned by </w:t>
            </w:r>
            <w:r w:rsidRPr="005A2014">
              <w:rPr>
                <w:rFonts w:cs="Arial"/>
                <w:spacing w:val="-5"/>
              </w:rPr>
              <w:t>local authorities</w:t>
            </w:r>
          </w:p>
        </w:tc>
      </w:tr>
      <w:tr w:rsidR="00C03FF9" w:rsidRPr="005A2014" w:rsidTr="005A2014">
        <w:tc>
          <w:tcPr>
            <w:tcW w:w="4621" w:type="dxa"/>
          </w:tcPr>
          <w:p w:rsidR="00C03FF9" w:rsidRPr="005A2014" w:rsidRDefault="00C03FF9" w:rsidP="00A67B9E">
            <w:pPr>
              <w:widowControl w:val="0"/>
              <w:autoSpaceDE w:val="0"/>
              <w:autoSpaceDN w:val="0"/>
              <w:adjustRightInd w:val="0"/>
              <w:spacing w:line="273" w:lineRule="exact"/>
              <w:rPr>
                <w:rFonts w:cs="Arial"/>
                <w:b/>
                <w:spacing w:val="-4"/>
              </w:rPr>
            </w:pPr>
            <w:r w:rsidRPr="005A2014">
              <w:rPr>
                <w:rFonts w:cs="Arial"/>
                <w:b/>
                <w:spacing w:val="-4"/>
              </w:rPr>
              <w:t xml:space="preserve">Emergency </w:t>
            </w:r>
            <w:r w:rsidR="005B448B" w:rsidRPr="005A2014">
              <w:rPr>
                <w:rFonts w:cs="Arial"/>
                <w:b/>
                <w:spacing w:val="-4"/>
              </w:rPr>
              <w:t>(</w:t>
            </w:r>
            <w:r w:rsidRPr="005A2014">
              <w:rPr>
                <w:rFonts w:cs="Arial"/>
                <w:b/>
                <w:spacing w:val="-4"/>
              </w:rPr>
              <w:t>hormonal</w:t>
            </w:r>
            <w:r w:rsidR="005B448B" w:rsidRPr="005A2014">
              <w:rPr>
                <w:rFonts w:cs="Arial"/>
                <w:b/>
                <w:spacing w:val="-4"/>
              </w:rPr>
              <w:t>)</w:t>
            </w:r>
            <w:r w:rsidRPr="005A2014">
              <w:rPr>
                <w:rFonts w:cs="Arial"/>
                <w:b/>
                <w:spacing w:val="-4"/>
              </w:rPr>
              <w:t xml:space="preserve"> contraception</w:t>
            </w:r>
          </w:p>
        </w:tc>
        <w:tc>
          <w:tcPr>
            <w:tcW w:w="4621" w:type="dxa"/>
          </w:tcPr>
          <w:p w:rsidR="005B448B" w:rsidRPr="005A2014" w:rsidRDefault="005B448B" w:rsidP="00A67B9E">
            <w:pPr>
              <w:widowControl w:val="0"/>
              <w:tabs>
                <w:tab w:val="left" w:pos="4608"/>
              </w:tabs>
              <w:autoSpaceDE w:val="0"/>
              <w:autoSpaceDN w:val="0"/>
              <w:adjustRightInd w:val="0"/>
              <w:spacing w:line="275" w:lineRule="exact"/>
              <w:rPr>
                <w:rFonts w:cs="Arial"/>
                <w:color w:val="323232"/>
                <w:spacing w:val="-3"/>
              </w:rPr>
            </w:pPr>
            <w:r w:rsidRPr="005A2014">
              <w:rPr>
                <w:rFonts w:cs="Arial"/>
                <w:color w:val="323232"/>
                <w:spacing w:val="-3"/>
              </w:rPr>
              <w:t xml:space="preserve">Used to prevent pregnancy after unprotected sex or when a contraceptive method has failed - for example, a condom has </w:t>
            </w:r>
            <w:proofErr w:type="gramStart"/>
            <w:r w:rsidRPr="005A2014">
              <w:rPr>
                <w:rFonts w:cs="Arial"/>
                <w:color w:val="323232"/>
                <w:spacing w:val="-3"/>
              </w:rPr>
              <w:t>split</w:t>
            </w:r>
            <w:proofErr w:type="gramEnd"/>
            <w:r w:rsidRPr="005A2014">
              <w:rPr>
                <w:rFonts w:cs="Arial"/>
                <w:color w:val="323232"/>
                <w:spacing w:val="-3"/>
              </w:rPr>
              <w:t xml:space="preserve"> or a contraceptive pill has been missed.  </w:t>
            </w:r>
          </w:p>
          <w:p w:rsidR="005B448B" w:rsidRPr="005A2014" w:rsidRDefault="005B448B" w:rsidP="00A67B9E">
            <w:pPr>
              <w:widowControl w:val="0"/>
              <w:tabs>
                <w:tab w:val="left" w:pos="4608"/>
              </w:tabs>
              <w:autoSpaceDE w:val="0"/>
              <w:autoSpaceDN w:val="0"/>
              <w:adjustRightInd w:val="0"/>
              <w:spacing w:line="275" w:lineRule="exact"/>
              <w:rPr>
                <w:rFonts w:cs="Arial"/>
                <w:color w:val="323232"/>
                <w:spacing w:val="-3"/>
              </w:rPr>
            </w:pPr>
          </w:p>
          <w:p w:rsidR="005B448B" w:rsidRPr="005A2014" w:rsidRDefault="005B448B" w:rsidP="00A67B9E">
            <w:pPr>
              <w:widowControl w:val="0"/>
              <w:tabs>
                <w:tab w:val="left" w:pos="4608"/>
              </w:tabs>
              <w:autoSpaceDE w:val="0"/>
              <w:autoSpaceDN w:val="0"/>
              <w:adjustRightInd w:val="0"/>
              <w:spacing w:line="275" w:lineRule="exact"/>
              <w:rPr>
                <w:rFonts w:cs="Arial"/>
                <w:b/>
                <w:spacing w:val="-4"/>
              </w:rPr>
            </w:pPr>
            <w:r w:rsidRPr="005A2014">
              <w:rPr>
                <w:rFonts w:cs="Arial"/>
                <w:color w:val="323232"/>
                <w:spacing w:val="-3"/>
              </w:rPr>
              <w:t>The copper intrauterine device (IUD) or coil is an effective form of emergency contraception.</w:t>
            </w:r>
          </w:p>
          <w:p w:rsidR="005B448B" w:rsidRPr="005A2014" w:rsidRDefault="005B448B" w:rsidP="00A67B9E">
            <w:pPr>
              <w:widowControl w:val="0"/>
              <w:tabs>
                <w:tab w:val="left" w:pos="4608"/>
              </w:tabs>
              <w:autoSpaceDE w:val="0"/>
              <w:autoSpaceDN w:val="0"/>
              <w:adjustRightInd w:val="0"/>
              <w:spacing w:line="275" w:lineRule="exact"/>
              <w:rPr>
                <w:rFonts w:cs="Arial"/>
                <w:color w:val="323232"/>
                <w:spacing w:val="-3"/>
              </w:rPr>
            </w:pPr>
          </w:p>
          <w:p w:rsidR="005B448B" w:rsidRPr="005A2014" w:rsidRDefault="005B448B" w:rsidP="00A67B9E">
            <w:pPr>
              <w:widowControl w:val="0"/>
              <w:tabs>
                <w:tab w:val="left" w:pos="4608"/>
              </w:tabs>
              <w:autoSpaceDE w:val="0"/>
              <w:autoSpaceDN w:val="0"/>
              <w:adjustRightInd w:val="0"/>
              <w:spacing w:line="275" w:lineRule="exact"/>
              <w:rPr>
                <w:rFonts w:cs="Arial"/>
                <w:color w:val="323232"/>
                <w:spacing w:val="-3"/>
              </w:rPr>
            </w:pPr>
            <w:r w:rsidRPr="005A2014">
              <w:rPr>
                <w:rFonts w:cs="Arial"/>
                <w:color w:val="323232"/>
                <w:spacing w:val="-3"/>
              </w:rPr>
              <w:t xml:space="preserve">Emergency </w:t>
            </w:r>
            <w:r w:rsidRPr="005A2014">
              <w:rPr>
                <w:rFonts w:cs="Arial"/>
                <w:i/>
                <w:color w:val="323232"/>
                <w:spacing w:val="-3"/>
              </w:rPr>
              <w:t>hormonal</w:t>
            </w:r>
            <w:r w:rsidRPr="005A2014">
              <w:rPr>
                <w:rFonts w:cs="Arial"/>
                <w:color w:val="323232"/>
                <w:spacing w:val="-3"/>
              </w:rPr>
              <w:t xml:space="preserve"> contraception refers to hormone-containing medication given as a pill ‘morning after pill’.</w:t>
            </w:r>
          </w:p>
          <w:p w:rsidR="00C03FF9" w:rsidRPr="005A2014" w:rsidRDefault="00C03FF9" w:rsidP="00A67B9E">
            <w:pPr>
              <w:widowControl w:val="0"/>
              <w:tabs>
                <w:tab w:val="left" w:pos="4608"/>
              </w:tabs>
              <w:autoSpaceDE w:val="0"/>
              <w:autoSpaceDN w:val="0"/>
              <w:adjustRightInd w:val="0"/>
              <w:spacing w:line="275" w:lineRule="exact"/>
              <w:rPr>
                <w:rFonts w:cs="Arial"/>
                <w:b/>
                <w:spacing w:val="-4"/>
              </w:rPr>
            </w:pPr>
          </w:p>
        </w:tc>
      </w:tr>
      <w:tr w:rsidR="00C03FF9" w:rsidRPr="005A2014" w:rsidTr="005A2014">
        <w:tc>
          <w:tcPr>
            <w:tcW w:w="4621" w:type="dxa"/>
          </w:tcPr>
          <w:p w:rsidR="00C03FF9" w:rsidRPr="005A2014" w:rsidRDefault="00C03FF9" w:rsidP="00A67B9E">
            <w:pPr>
              <w:widowControl w:val="0"/>
              <w:autoSpaceDE w:val="0"/>
              <w:autoSpaceDN w:val="0"/>
              <w:adjustRightInd w:val="0"/>
              <w:spacing w:line="273" w:lineRule="exact"/>
              <w:rPr>
                <w:rFonts w:cs="Arial"/>
                <w:b/>
                <w:spacing w:val="-4"/>
              </w:rPr>
            </w:pPr>
            <w:r w:rsidRPr="005A2014">
              <w:rPr>
                <w:rFonts w:cs="Arial"/>
                <w:b/>
                <w:spacing w:val="-4"/>
              </w:rPr>
              <w:t>Family Planning</w:t>
            </w:r>
          </w:p>
        </w:tc>
        <w:tc>
          <w:tcPr>
            <w:tcW w:w="4621" w:type="dxa"/>
          </w:tcPr>
          <w:p w:rsidR="00C03FF9" w:rsidRPr="005A2014" w:rsidRDefault="00C03FF9" w:rsidP="00A67B9E">
            <w:pPr>
              <w:widowControl w:val="0"/>
              <w:tabs>
                <w:tab w:val="left" w:pos="3629"/>
                <w:tab w:val="left" w:pos="4405"/>
                <w:tab w:val="left" w:pos="4608"/>
              </w:tabs>
              <w:autoSpaceDE w:val="0"/>
              <w:autoSpaceDN w:val="0"/>
              <w:adjustRightInd w:val="0"/>
              <w:spacing w:line="285" w:lineRule="exact"/>
              <w:rPr>
                <w:rFonts w:cs="Arial"/>
              </w:rPr>
            </w:pPr>
            <w:r w:rsidRPr="005A2014">
              <w:rPr>
                <w:rFonts w:cs="Arial"/>
                <w:spacing w:val="-3"/>
              </w:rPr>
              <w:t xml:space="preserve">Term historically used to describe contraceptive services and no longer in </w:t>
            </w:r>
            <w:r w:rsidRPr="005A2014">
              <w:rPr>
                <w:rFonts w:cs="Arial"/>
                <w:spacing w:val="-8"/>
              </w:rPr>
              <w:t xml:space="preserve">common use. </w:t>
            </w:r>
          </w:p>
          <w:p w:rsidR="00C03FF9" w:rsidRPr="005A2014" w:rsidRDefault="00C03FF9" w:rsidP="00A67B9E">
            <w:pPr>
              <w:widowControl w:val="0"/>
              <w:autoSpaceDE w:val="0"/>
              <w:autoSpaceDN w:val="0"/>
              <w:adjustRightInd w:val="0"/>
              <w:spacing w:line="273" w:lineRule="exact"/>
              <w:rPr>
                <w:rFonts w:cs="Arial"/>
                <w:b/>
                <w:spacing w:val="-4"/>
              </w:rPr>
            </w:pPr>
          </w:p>
        </w:tc>
      </w:tr>
      <w:tr w:rsidR="00C03FF9" w:rsidRPr="005A2014" w:rsidTr="005A2014">
        <w:tc>
          <w:tcPr>
            <w:tcW w:w="4621" w:type="dxa"/>
          </w:tcPr>
          <w:p w:rsidR="00C03FF9" w:rsidRPr="005A2014" w:rsidRDefault="00C03FF9" w:rsidP="00A67B9E">
            <w:pPr>
              <w:widowControl w:val="0"/>
              <w:autoSpaceDE w:val="0"/>
              <w:autoSpaceDN w:val="0"/>
              <w:adjustRightInd w:val="0"/>
              <w:spacing w:line="273" w:lineRule="exact"/>
              <w:rPr>
                <w:rFonts w:cs="Arial"/>
                <w:b/>
                <w:spacing w:val="-4"/>
              </w:rPr>
            </w:pPr>
            <w:r w:rsidRPr="005A2014">
              <w:rPr>
                <w:rFonts w:cs="Arial"/>
                <w:b/>
                <w:spacing w:val="-4"/>
              </w:rPr>
              <w:t>General Medical Services (GMS)</w:t>
            </w:r>
          </w:p>
        </w:tc>
        <w:tc>
          <w:tcPr>
            <w:tcW w:w="4621" w:type="dxa"/>
          </w:tcPr>
          <w:p w:rsidR="00C03FF9" w:rsidRPr="005A2014" w:rsidRDefault="00C03FF9" w:rsidP="00A67B9E">
            <w:pPr>
              <w:widowControl w:val="0"/>
              <w:tabs>
                <w:tab w:val="left" w:pos="4608"/>
              </w:tabs>
              <w:autoSpaceDE w:val="0"/>
              <w:autoSpaceDN w:val="0"/>
              <w:adjustRightInd w:val="0"/>
              <w:spacing w:line="285" w:lineRule="exact"/>
              <w:rPr>
                <w:rFonts w:cs="Arial"/>
              </w:rPr>
            </w:pPr>
            <w:r w:rsidRPr="005A2014">
              <w:rPr>
                <w:rFonts w:cs="Arial"/>
                <w:spacing w:val="-3"/>
              </w:rPr>
              <w:t xml:space="preserve">Contract held with general practices via </w:t>
            </w:r>
          </w:p>
          <w:p w:rsidR="00C03FF9" w:rsidRPr="005A2014" w:rsidRDefault="00C03FF9" w:rsidP="00A67B9E">
            <w:pPr>
              <w:widowControl w:val="0"/>
              <w:autoSpaceDE w:val="0"/>
              <w:autoSpaceDN w:val="0"/>
              <w:adjustRightInd w:val="0"/>
              <w:spacing w:line="276" w:lineRule="exact"/>
              <w:rPr>
                <w:rFonts w:cs="Arial"/>
              </w:rPr>
            </w:pPr>
            <w:r w:rsidRPr="005A2014">
              <w:rPr>
                <w:rFonts w:cs="Arial"/>
                <w:spacing w:val="-2"/>
              </w:rPr>
              <w:t xml:space="preserve">NHS England. Basic level 1 </w:t>
            </w:r>
            <w:r w:rsidRPr="005A2014">
              <w:rPr>
                <w:rFonts w:cs="Arial"/>
                <w:spacing w:val="-3"/>
              </w:rPr>
              <w:t xml:space="preserve">contraceptive services for example, the provision of oral contraceptives can also be provided by primary care as part of </w:t>
            </w:r>
            <w:r w:rsidRPr="005A2014">
              <w:rPr>
                <w:rFonts w:cs="Arial"/>
                <w:spacing w:val="-5"/>
              </w:rPr>
              <w:t xml:space="preserve">their GMS contract. </w:t>
            </w:r>
          </w:p>
          <w:p w:rsidR="00C03FF9" w:rsidRPr="005A2014" w:rsidRDefault="00C03FF9" w:rsidP="00A67B9E">
            <w:pPr>
              <w:widowControl w:val="0"/>
              <w:autoSpaceDE w:val="0"/>
              <w:autoSpaceDN w:val="0"/>
              <w:adjustRightInd w:val="0"/>
              <w:spacing w:line="273" w:lineRule="exact"/>
              <w:rPr>
                <w:rFonts w:cs="Arial"/>
                <w:b/>
                <w:spacing w:val="-4"/>
              </w:rPr>
            </w:pPr>
          </w:p>
        </w:tc>
      </w:tr>
      <w:tr w:rsidR="00C03FF9" w:rsidRPr="005A2014" w:rsidTr="005A2014">
        <w:tc>
          <w:tcPr>
            <w:tcW w:w="4621" w:type="dxa"/>
          </w:tcPr>
          <w:p w:rsidR="00C03FF9" w:rsidRPr="005A2014" w:rsidRDefault="00C03FF9" w:rsidP="00A67B9E">
            <w:pPr>
              <w:widowControl w:val="0"/>
              <w:autoSpaceDE w:val="0"/>
              <w:autoSpaceDN w:val="0"/>
              <w:adjustRightInd w:val="0"/>
              <w:spacing w:line="273" w:lineRule="exact"/>
              <w:rPr>
                <w:rFonts w:cs="Arial"/>
                <w:b/>
                <w:spacing w:val="-4"/>
              </w:rPr>
            </w:pPr>
            <w:r w:rsidRPr="005A2014">
              <w:rPr>
                <w:rFonts w:cs="Arial"/>
                <w:b/>
                <w:spacing w:val="-4"/>
              </w:rPr>
              <w:t>Genitourinary Medicine (GUM)</w:t>
            </w:r>
            <w:r w:rsidR="00F22EE4" w:rsidRPr="005A2014">
              <w:rPr>
                <w:rFonts w:cs="Arial"/>
                <w:b/>
                <w:spacing w:val="-4"/>
              </w:rPr>
              <w:t xml:space="preserve"> </w:t>
            </w:r>
          </w:p>
        </w:tc>
        <w:tc>
          <w:tcPr>
            <w:tcW w:w="4621" w:type="dxa"/>
          </w:tcPr>
          <w:p w:rsidR="007014D5" w:rsidRPr="005A2014" w:rsidRDefault="005B448B" w:rsidP="005A2014">
            <w:pPr>
              <w:widowControl w:val="0"/>
              <w:tabs>
                <w:tab w:val="left" w:pos="4608"/>
              </w:tabs>
              <w:autoSpaceDE w:val="0"/>
              <w:autoSpaceDN w:val="0"/>
              <w:adjustRightInd w:val="0"/>
              <w:spacing w:line="285" w:lineRule="exact"/>
              <w:rPr>
                <w:rFonts w:cs="Arial"/>
              </w:rPr>
            </w:pPr>
            <w:r w:rsidRPr="005A2014">
              <w:rPr>
                <w:rFonts w:cs="Arial"/>
                <w:spacing w:val="-3"/>
              </w:rPr>
              <w:t>Medical Speciality p</w:t>
            </w:r>
            <w:r w:rsidR="007014D5" w:rsidRPr="005A2014">
              <w:rPr>
                <w:rFonts w:cs="Arial"/>
                <w:spacing w:val="-3"/>
              </w:rPr>
              <w:t>rovid</w:t>
            </w:r>
            <w:r w:rsidRPr="005A2014">
              <w:rPr>
                <w:rFonts w:cs="Arial"/>
                <w:spacing w:val="-3"/>
              </w:rPr>
              <w:t>ing</w:t>
            </w:r>
            <w:r w:rsidR="007014D5" w:rsidRPr="005A2014">
              <w:rPr>
                <w:rFonts w:cs="Arial"/>
                <w:spacing w:val="-3"/>
              </w:rPr>
              <w:t xml:space="preserve"> specialist testing, treatment and </w:t>
            </w:r>
            <w:r w:rsidR="007014D5" w:rsidRPr="005A2014">
              <w:rPr>
                <w:rFonts w:cs="Arial"/>
                <w:spacing w:val="-4"/>
              </w:rPr>
              <w:t xml:space="preserve">management services for sexually </w:t>
            </w:r>
            <w:r w:rsidR="007014D5" w:rsidRPr="005A2014">
              <w:rPr>
                <w:rFonts w:cs="Arial"/>
                <w:spacing w:val="-3"/>
              </w:rPr>
              <w:t xml:space="preserve">transmitted infections (STIs) and HIV </w:t>
            </w:r>
          </w:p>
          <w:p w:rsidR="007014D5" w:rsidRPr="005A2014" w:rsidRDefault="007014D5" w:rsidP="00A67B9E">
            <w:pPr>
              <w:widowControl w:val="0"/>
              <w:autoSpaceDE w:val="0"/>
              <w:autoSpaceDN w:val="0"/>
              <w:adjustRightInd w:val="0"/>
              <w:spacing w:line="276" w:lineRule="exact"/>
              <w:rPr>
                <w:rFonts w:cs="Arial"/>
              </w:rPr>
            </w:pPr>
            <w:r w:rsidRPr="005A2014">
              <w:rPr>
                <w:rFonts w:cs="Arial"/>
                <w:spacing w:val="-3"/>
              </w:rPr>
              <w:t xml:space="preserve">including for example, chlamydia, </w:t>
            </w:r>
          </w:p>
          <w:p w:rsidR="007014D5" w:rsidRPr="005A2014" w:rsidRDefault="007014D5" w:rsidP="00A67B9E">
            <w:pPr>
              <w:widowControl w:val="0"/>
              <w:autoSpaceDE w:val="0"/>
              <w:autoSpaceDN w:val="0"/>
              <w:adjustRightInd w:val="0"/>
              <w:spacing w:line="276" w:lineRule="exact"/>
              <w:rPr>
                <w:rFonts w:cs="Arial"/>
              </w:rPr>
            </w:pPr>
            <w:r w:rsidRPr="005A2014">
              <w:rPr>
                <w:rFonts w:cs="Arial"/>
                <w:spacing w:val="-3"/>
              </w:rPr>
              <w:t xml:space="preserve">gonorrhoea, genital herpes, genital warts </w:t>
            </w:r>
            <w:r w:rsidRPr="005A2014">
              <w:rPr>
                <w:rFonts w:cs="Arial"/>
                <w:spacing w:val="-7"/>
              </w:rPr>
              <w:t xml:space="preserve">and syphilis. </w:t>
            </w:r>
          </w:p>
          <w:p w:rsidR="00C03FF9" w:rsidRPr="005A2014" w:rsidRDefault="00C03FF9" w:rsidP="00A67B9E">
            <w:pPr>
              <w:widowControl w:val="0"/>
              <w:autoSpaceDE w:val="0"/>
              <w:autoSpaceDN w:val="0"/>
              <w:adjustRightInd w:val="0"/>
              <w:spacing w:line="273" w:lineRule="exact"/>
              <w:rPr>
                <w:rFonts w:cs="Arial"/>
                <w:b/>
                <w:spacing w:val="-4"/>
              </w:rPr>
            </w:pPr>
          </w:p>
        </w:tc>
      </w:tr>
      <w:tr w:rsidR="00F22EE4" w:rsidRPr="005A2014" w:rsidTr="00C03FF9">
        <w:tc>
          <w:tcPr>
            <w:tcW w:w="4621" w:type="dxa"/>
          </w:tcPr>
          <w:p w:rsidR="00F22EE4" w:rsidRPr="005A2014" w:rsidRDefault="00F22EE4" w:rsidP="00A67B9E">
            <w:pPr>
              <w:widowControl w:val="0"/>
              <w:autoSpaceDE w:val="0"/>
              <w:autoSpaceDN w:val="0"/>
              <w:adjustRightInd w:val="0"/>
              <w:spacing w:line="273" w:lineRule="exact"/>
              <w:rPr>
                <w:rFonts w:cs="Arial"/>
                <w:b/>
                <w:spacing w:val="-4"/>
              </w:rPr>
            </w:pPr>
            <w:r w:rsidRPr="005A2014">
              <w:rPr>
                <w:rFonts w:cs="Arial"/>
                <w:b/>
                <w:spacing w:val="-4"/>
              </w:rPr>
              <w:t>GUM services</w:t>
            </w:r>
          </w:p>
        </w:tc>
        <w:tc>
          <w:tcPr>
            <w:tcW w:w="4621" w:type="dxa"/>
          </w:tcPr>
          <w:p w:rsidR="00F22EE4" w:rsidRPr="005A2014" w:rsidRDefault="00F22EE4" w:rsidP="00A67B9E">
            <w:pPr>
              <w:widowControl w:val="0"/>
              <w:tabs>
                <w:tab w:val="left" w:pos="4608"/>
              </w:tabs>
              <w:autoSpaceDE w:val="0"/>
              <w:autoSpaceDN w:val="0"/>
              <w:adjustRightInd w:val="0"/>
              <w:spacing w:line="275" w:lineRule="exact"/>
              <w:rPr>
                <w:rFonts w:cs="Arial"/>
              </w:rPr>
            </w:pPr>
            <w:r w:rsidRPr="005A2014">
              <w:rPr>
                <w:rFonts w:cs="Arial"/>
                <w:spacing w:val="-3"/>
              </w:rPr>
              <w:t xml:space="preserve">Services provided by specialist </w:t>
            </w:r>
          </w:p>
          <w:p w:rsidR="00F22EE4" w:rsidRPr="005A2014" w:rsidRDefault="00F22EE4" w:rsidP="00A67B9E">
            <w:pPr>
              <w:widowControl w:val="0"/>
              <w:tabs>
                <w:tab w:val="left" w:pos="4608"/>
              </w:tabs>
              <w:autoSpaceDE w:val="0"/>
              <w:autoSpaceDN w:val="0"/>
              <w:adjustRightInd w:val="0"/>
              <w:spacing w:line="285" w:lineRule="exact"/>
              <w:rPr>
                <w:rFonts w:cs="Arial"/>
                <w:spacing w:val="-3"/>
              </w:rPr>
            </w:pPr>
            <w:r w:rsidRPr="005A2014">
              <w:rPr>
                <w:rFonts w:cs="Arial"/>
                <w:spacing w:val="-3"/>
              </w:rPr>
              <w:t xml:space="preserve">sexual health </w:t>
            </w:r>
            <w:r w:rsidR="005A2014" w:rsidRPr="005A2014">
              <w:rPr>
                <w:rFonts w:cs="Arial"/>
                <w:spacing w:val="-3"/>
              </w:rPr>
              <w:t>providers</w:t>
            </w:r>
            <w:r w:rsidRPr="005A2014">
              <w:rPr>
                <w:rFonts w:cs="Arial"/>
                <w:spacing w:val="-3"/>
              </w:rPr>
              <w:t xml:space="preserve"> and commissioned by </w:t>
            </w:r>
            <w:r w:rsidRPr="005A2014">
              <w:rPr>
                <w:rFonts w:cs="Arial"/>
                <w:spacing w:val="-5"/>
              </w:rPr>
              <w:t>local authorities</w:t>
            </w:r>
          </w:p>
        </w:tc>
      </w:tr>
      <w:tr w:rsidR="00C03FF9" w:rsidRPr="00A67B9E" w:rsidTr="005A2014">
        <w:tc>
          <w:tcPr>
            <w:tcW w:w="4621" w:type="dxa"/>
          </w:tcPr>
          <w:p w:rsidR="00C03FF9" w:rsidRPr="00A67B9E" w:rsidRDefault="00C03FF9" w:rsidP="00A67B9E">
            <w:pPr>
              <w:widowControl w:val="0"/>
              <w:autoSpaceDE w:val="0"/>
              <w:autoSpaceDN w:val="0"/>
              <w:adjustRightInd w:val="0"/>
              <w:spacing w:line="273" w:lineRule="exact"/>
              <w:rPr>
                <w:rFonts w:cs="Arial"/>
                <w:b/>
                <w:spacing w:val="-4"/>
              </w:rPr>
            </w:pPr>
            <w:r w:rsidRPr="00A67B9E">
              <w:rPr>
                <w:rFonts w:cs="Arial"/>
                <w:b/>
                <w:spacing w:val="-4"/>
              </w:rPr>
              <w:t>GUMCAD</w:t>
            </w:r>
          </w:p>
        </w:tc>
        <w:tc>
          <w:tcPr>
            <w:tcW w:w="4621" w:type="dxa"/>
          </w:tcPr>
          <w:p w:rsidR="007014D5" w:rsidRPr="00A67B9E" w:rsidRDefault="007014D5" w:rsidP="00A67B9E">
            <w:pPr>
              <w:widowControl w:val="0"/>
              <w:tabs>
                <w:tab w:val="left" w:pos="4608"/>
              </w:tabs>
              <w:autoSpaceDE w:val="0"/>
              <w:autoSpaceDN w:val="0"/>
              <w:adjustRightInd w:val="0"/>
              <w:spacing w:line="285" w:lineRule="exact"/>
              <w:rPr>
                <w:rFonts w:cs="Arial"/>
              </w:rPr>
            </w:pPr>
            <w:r w:rsidRPr="00A67B9E">
              <w:rPr>
                <w:rFonts w:cs="Arial"/>
                <w:spacing w:val="-4"/>
              </w:rPr>
              <w:t xml:space="preserve">Data set collection system in </w:t>
            </w:r>
          </w:p>
          <w:p w:rsidR="007014D5" w:rsidRPr="00A67B9E" w:rsidRDefault="007014D5" w:rsidP="00A67B9E">
            <w:pPr>
              <w:widowControl w:val="0"/>
              <w:autoSpaceDE w:val="0"/>
              <w:autoSpaceDN w:val="0"/>
              <w:adjustRightInd w:val="0"/>
              <w:spacing w:line="276" w:lineRule="exact"/>
              <w:rPr>
                <w:rFonts w:cs="Arial"/>
              </w:rPr>
            </w:pPr>
            <w:r w:rsidRPr="00A67B9E">
              <w:rPr>
                <w:rFonts w:cs="Arial"/>
                <w:spacing w:val="-4"/>
              </w:rPr>
              <w:t xml:space="preserve">genitourinary medicine (GUMCAD) and </w:t>
            </w:r>
          </w:p>
          <w:p w:rsidR="007014D5" w:rsidRPr="00A67B9E" w:rsidRDefault="007014D5" w:rsidP="00A67B9E">
            <w:pPr>
              <w:widowControl w:val="0"/>
              <w:autoSpaceDE w:val="0"/>
              <w:autoSpaceDN w:val="0"/>
              <w:adjustRightInd w:val="0"/>
              <w:spacing w:line="276" w:lineRule="exact"/>
              <w:rPr>
                <w:rFonts w:cs="Arial"/>
              </w:rPr>
            </w:pPr>
            <w:r w:rsidRPr="00A67B9E">
              <w:rPr>
                <w:rFonts w:cs="Arial"/>
                <w:spacing w:val="-3"/>
              </w:rPr>
              <w:t xml:space="preserve">administered by Public Health England </w:t>
            </w:r>
          </w:p>
          <w:p w:rsidR="00C03FF9" w:rsidRPr="00A67B9E" w:rsidRDefault="00C03FF9" w:rsidP="00A67B9E">
            <w:pPr>
              <w:widowControl w:val="0"/>
              <w:autoSpaceDE w:val="0"/>
              <w:autoSpaceDN w:val="0"/>
              <w:adjustRightInd w:val="0"/>
              <w:spacing w:line="273" w:lineRule="exact"/>
              <w:rPr>
                <w:rFonts w:cs="Arial"/>
                <w:b/>
                <w:spacing w:val="-4"/>
              </w:rPr>
            </w:pPr>
          </w:p>
        </w:tc>
      </w:tr>
      <w:tr w:rsidR="00C03FF9" w:rsidRPr="00A67B9E" w:rsidTr="005A2014">
        <w:tc>
          <w:tcPr>
            <w:tcW w:w="4621" w:type="dxa"/>
          </w:tcPr>
          <w:p w:rsidR="00C03FF9" w:rsidRPr="00A67B9E" w:rsidRDefault="00C03FF9" w:rsidP="00A67B9E">
            <w:pPr>
              <w:widowControl w:val="0"/>
              <w:autoSpaceDE w:val="0"/>
              <w:autoSpaceDN w:val="0"/>
              <w:adjustRightInd w:val="0"/>
              <w:spacing w:line="273" w:lineRule="exact"/>
              <w:rPr>
                <w:rFonts w:cs="Arial"/>
                <w:b/>
                <w:spacing w:val="-4"/>
              </w:rPr>
            </w:pPr>
            <w:r w:rsidRPr="00A67B9E">
              <w:rPr>
                <w:rFonts w:cs="Arial"/>
                <w:b/>
                <w:spacing w:val="-4"/>
              </w:rPr>
              <w:t>Integrated Tariff</w:t>
            </w:r>
          </w:p>
        </w:tc>
        <w:tc>
          <w:tcPr>
            <w:tcW w:w="4621" w:type="dxa"/>
          </w:tcPr>
          <w:p w:rsidR="007014D5" w:rsidRPr="00A67B9E" w:rsidRDefault="007014D5" w:rsidP="00A67B9E">
            <w:pPr>
              <w:widowControl w:val="0"/>
              <w:tabs>
                <w:tab w:val="left" w:pos="4608"/>
              </w:tabs>
              <w:autoSpaceDE w:val="0"/>
              <w:autoSpaceDN w:val="0"/>
              <w:adjustRightInd w:val="0"/>
              <w:spacing w:line="285" w:lineRule="exact"/>
              <w:rPr>
                <w:rFonts w:cs="Arial"/>
              </w:rPr>
            </w:pPr>
            <w:r w:rsidRPr="00A67B9E">
              <w:rPr>
                <w:rFonts w:cs="Arial"/>
                <w:spacing w:val="-4"/>
              </w:rPr>
              <w:t xml:space="preserve">Tariffs for integrated contraception and </w:t>
            </w:r>
            <w:r w:rsidRPr="00A67B9E">
              <w:rPr>
                <w:rFonts w:cs="Arial"/>
                <w:spacing w:val="-3"/>
              </w:rPr>
              <w:t xml:space="preserve">STI/GUM services, </w:t>
            </w:r>
            <w:r w:rsidRPr="00A67B9E">
              <w:rPr>
                <w:rFonts w:cs="Arial"/>
                <w:spacing w:val="-4"/>
              </w:rPr>
              <w:t xml:space="preserve">based on bundles of sexual and reproductive health services and interventions commonly provided together. </w:t>
            </w:r>
          </w:p>
          <w:p w:rsidR="00C03FF9" w:rsidRPr="00A67B9E" w:rsidRDefault="00C03FF9" w:rsidP="00A67B9E">
            <w:pPr>
              <w:widowControl w:val="0"/>
              <w:autoSpaceDE w:val="0"/>
              <w:autoSpaceDN w:val="0"/>
              <w:adjustRightInd w:val="0"/>
              <w:spacing w:line="273" w:lineRule="exact"/>
              <w:rPr>
                <w:rFonts w:cs="Arial"/>
                <w:b/>
                <w:spacing w:val="-4"/>
              </w:rPr>
            </w:pPr>
          </w:p>
        </w:tc>
      </w:tr>
      <w:tr w:rsidR="00C03FF9" w:rsidRPr="00A67B9E" w:rsidTr="005A2014">
        <w:tc>
          <w:tcPr>
            <w:tcW w:w="4621" w:type="dxa"/>
          </w:tcPr>
          <w:p w:rsidR="00C03FF9" w:rsidRPr="00A67B9E" w:rsidRDefault="00C03FF9" w:rsidP="00A67B9E">
            <w:pPr>
              <w:widowControl w:val="0"/>
              <w:autoSpaceDE w:val="0"/>
              <w:autoSpaceDN w:val="0"/>
              <w:adjustRightInd w:val="0"/>
              <w:spacing w:line="273" w:lineRule="exact"/>
              <w:rPr>
                <w:rFonts w:cs="Arial"/>
                <w:b/>
                <w:spacing w:val="-4"/>
              </w:rPr>
            </w:pPr>
            <w:r w:rsidRPr="00A67B9E">
              <w:rPr>
                <w:rFonts w:cs="Arial"/>
                <w:b/>
                <w:spacing w:val="-4"/>
              </w:rPr>
              <w:t>Long Acting Reversible Contraception (LARC)</w:t>
            </w:r>
          </w:p>
        </w:tc>
        <w:tc>
          <w:tcPr>
            <w:tcW w:w="4621" w:type="dxa"/>
          </w:tcPr>
          <w:p w:rsidR="007014D5" w:rsidRPr="005A2014" w:rsidRDefault="007014D5" w:rsidP="00A67B9E">
            <w:pPr>
              <w:widowControl w:val="0"/>
              <w:tabs>
                <w:tab w:val="left" w:pos="4608"/>
              </w:tabs>
              <w:autoSpaceDE w:val="0"/>
              <w:autoSpaceDN w:val="0"/>
              <w:adjustRightInd w:val="0"/>
              <w:spacing w:line="276" w:lineRule="exact"/>
              <w:rPr>
                <w:rFonts w:cs="Arial"/>
              </w:rPr>
            </w:pPr>
            <w:r w:rsidRPr="005A2014">
              <w:rPr>
                <w:rFonts w:cs="Arial"/>
                <w:spacing w:val="-3"/>
              </w:rPr>
              <w:t xml:space="preserve">Contraceptive methods that once in place are not dependent on the user day to day and are effective for months or years. LARC methods include intra-uterine </w:t>
            </w:r>
            <w:r w:rsidR="005A2014" w:rsidRPr="005A2014">
              <w:rPr>
                <w:rFonts w:cs="Arial"/>
                <w:spacing w:val="-3"/>
              </w:rPr>
              <w:t xml:space="preserve">contraception </w:t>
            </w:r>
            <w:r w:rsidR="005A2014" w:rsidRPr="005A2014">
              <w:rPr>
                <w:rFonts w:cs="Arial"/>
              </w:rPr>
              <w:t>where</w:t>
            </w:r>
            <w:r w:rsidRPr="005A2014">
              <w:rPr>
                <w:rFonts w:cs="Arial"/>
              </w:rPr>
              <w:t xml:space="preserve"> </w:t>
            </w:r>
            <w:r w:rsidRPr="005A2014">
              <w:rPr>
                <w:rFonts w:cs="Arial"/>
                <w:spacing w:val="-3"/>
              </w:rPr>
              <w:t xml:space="preserve">small devices such as the IUD, IUS </w:t>
            </w:r>
          </w:p>
          <w:p w:rsidR="007014D5" w:rsidRPr="005A2014" w:rsidRDefault="007014D5" w:rsidP="00A67B9E">
            <w:pPr>
              <w:widowControl w:val="0"/>
              <w:autoSpaceDE w:val="0"/>
              <w:autoSpaceDN w:val="0"/>
              <w:adjustRightInd w:val="0"/>
              <w:spacing w:line="275" w:lineRule="exact"/>
              <w:rPr>
                <w:rFonts w:cs="Arial"/>
              </w:rPr>
            </w:pPr>
            <w:r w:rsidRPr="005A2014">
              <w:rPr>
                <w:rFonts w:cs="Arial"/>
                <w:spacing w:val="-4"/>
              </w:rPr>
              <w:t xml:space="preserve">(sometimes commonly known as the coil) </w:t>
            </w:r>
          </w:p>
          <w:p w:rsidR="007014D5" w:rsidRPr="005A2014" w:rsidRDefault="007014D5" w:rsidP="00A67B9E">
            <w:pPr>
              <w:widowControl w:val="0"/>
              <w:autoSpaceDE w:val="0"/>
              <w:autoSpaceDN w:val="0"/>
              <w:adjustRightInd w:val="0"/>
              <w:spacing w:line="276" w:lineRule="exact"/>
              <w:rPr>
                <w:rFonts w:cs="Arial"/>
                <w:spacing w:val="-2"/>
              </w:rPr>
            </w:pPr>
            <w:r w:rsidRPr="005A2014">
              <w:rPr>
                <w:rFonts w:cs="Arial"/>
                <w:spacing w:val="-3"/>
              </w:rPr>
              <w:t xml:space="preserve">are inserted in to the uterus via the </w:t>
            </w:r>
            <w:r w:rsidRPr="005A2014">
              <w:rPr>
                <w:rFonts w:cs="Arial"/>
                <w:spacing w:val="-4"/>
              </w:rPr>
              <w:t>cervix to prevent pregnancy and</w:t>
            </w:r>
            <w:r w:rsidRPr="005A2014">
              <w:rPr>
                <w:rFonts w:cs="Arial"/>
              </w:rPr>
              <w:t xml:space="preserve"> i</w:t>
            </w:r>
            <w:r w:rsidRPr="005A2014">
              <w:rPr>
                <w:rFonts w:cs="Arial"/>
                <w:spacing w:val="-4"/>
              </w:rPr>
              <w:t xml:space="preserve">mplants containing slow release hormones that are </w:t>
            </w:r>
            <w:r w:rsidRPr="005A2014">
              <w:rPr>
                <w:rFonts w:cs="Arial"/>
                <w:spacing w:val="-2"/>
              </w:rPr>
              <w:t xml:space="preserve">inserted in to the female arm. </w:t>
            </w:r>
          </w:p>
          <w:p w:rsidR="007014D5" w:rsidRPr="005A2014" w:rsidRDefault="007014D5" w:rsidP="00A67B9E">
            <w:pPr>
              <w:widowControl w:val="0"/>
              <w:autoSpaceDE w:val="0"/>
              <w:autoSpaceDN w:val="0"/>
              <w:adjustRightInd w:val="0"/>
              <w:spacing w:line="276" w:lineRule="exact"/>
              <w:rPr>
                <w:rFonts w:cs="Arial"/>
                <w:spacing w:val="-2"/>
              </w:rPr>
            </w:pPr>
          </w:p>
          <w:p w:rsidR="007014D5" w:rsidRPr="005A2014" w:rsidRDefault="007014D5" w:rsidP="00A67B9E">
            <w:pPr>
              <w:widowControl w:val="0"/>
              <w:autoSpaceDE w:val="0"/>
              <w:autoSpaceDN w:val="0"/>
              <w:adjustRightInd w:val="0"/>
              <w:spacing w:line="276" w:lineRule="exact"/>
              <w:rPr>
                <w:rFonts w:cs="Arial"/>
              </w:rPr>
            </w:pPr>
            <w:r w:rsidRPr="005A2014">
              <w:rPr>
                <w:rFonts w:cs="Arial"/>
                <w:spacing w:val="-2"/>
              </w:rPr>
              <w:t xml:space="preserve">LARC </w:t>
            </w:r>
            <w:r w:rsidRPr="005A2014">
              <w:rPr>
                <w:rFonts w:cs="Arial"/>
                <w:spacing w:val="-4"/>
              </w:rPr>
              <w:t>services can be commissioned by local authorities within and outside of specialist sexual and reproductive health services, often via general practice.</w:t>
            </w:r>
          </w:p>
          <w:p w:rsidR="00C03FF9" w:rsidRPr="005A2014" w:rsidRDefault="00C03FF9" w:rsidP="00A67B9E">
            <w:pPr>
              <w:widowControl w:val="0"/>
              <w:autoSpaceDE w:val="0"/>
              <w:autoSpaceDN w:val="0"/>
              <w:adjustRightInd w:val="0"/>
              <w:spacing w:line="273" w:lineRule="exact"/>
              <w:rPr>
                <w:rFonts w:cs="Arial"/>
                <w:b/>
                <w:spacing w:val="-4"/>
              </w:rPr>
            </w:pPr>
          </w:p>
        </w:tc>
      </w:tr>
      <w:tr w:rsidR="00C03FF9" w:rsidRPr="00A67B9E" w:rsidTr="005A2014">
        <w:tc>
          <w:tcPr>
            <w:tcW w:w="4621" w:type="dxa"/>
          </w:tcPr>
          <w:p w:rsidR="00C03FF9" w:rsidRPr="00A67B9E" w:rsidRDefault="00C03FF9" w:rsidP="00A67B9E">
            <w:pPr>
              <w:widowControl w:val="0"/>
              <w:autoSpaceDE w:val="0"/>
              <w:autoSpaceDN w:val="0"/>
              <w:adjustRightInd w:val="0"/>
              <w:spacing w:line="273" w:lineRule="exact"/>
              <w:rPr>
                <w:rFonts w:cs="Arial"/>
                <w:b/>
                <w:spacing w:val="-4"/>
              </w:rPr>
            </w:pPr>
            <w:r w:rsidRPr="00A67B9E">
              <w:rPr>
                <w:rFonts w:cs="Arial"/>
                <w:b/>
                <w:spacing w:val="-4"/>
              </w:rPr>
              <w:t>Market Forces Factor</w:t>
            </w:r>
          </w:p>
        </w:tc>
        <w:tc>
          <w:tcPr>
            <w:tcW w:w="4621" w:type="dxa"/>
          </w:tcPr>
          <w:p w:rsidR="007014D5" w:rsidRPr="00A67B9E" w:rsidRDefault="007014D5" w:rsidP="00A67B9E">
            <w:pPr>
              <w:widowControl w:val="0"/>
              <w:autoSpaceDE w:val="0"/>
              <w:autoSpaceDN w:val="0"/>
              <w:adjustRightInd w:val="0"/>
              <w:spacing w:line="285" w:lineRule="exact"/>
              <w:rPr>
                <w:rFonts w:cs="Arial"/>
              </w:rPr>
            </w:pPr>
            <w:r w:rsidRPr="00A67B9E">
              <w:rPr>
                <w:rFonts w:cs="Arial"/>
                <w:spacing w:val="-3"/>
              </w:rPr>
              <w:t xml:space="preserve">Used to adjust resource allocations in the NHS; </w:t>
            </w:r>
            <w:r w:rsidRPr="00A67B9E">
              <w:rPr>
                <w:rFonts w:cs="Arial"/>
                <w:spacing w:val="-4"/>
              </w:rPr>
              <w:t xml:space="preserve">an </w:t>
            </w:r>
            <w:r w:rsidRPr="00A67B9E">
              <w:rPr>
                <w:rFonts w:cs="Arial"/>
                <w:spacing w:val="-3"/>
              </w:rPr>
              <w:t xml:space="preserve">estimate of unavoidable cost. It includes </w:t>
            </w:r>
            <w:r w:rsidRPr="00A67B9E">
              <w:rPr>
                <w:rFonts w:cs="Arial"/>
                <w:spacing w:val="-4"/>
              </w:rPr>
              <w:t xml:space="preserve">differences between health care </w:t>
            </w:r>
            <w:r w:rsidRPr="00A67B9E">
              <w:rPr>
                <w:rFonts w:cs="Arial"/>
                <w:spacing w:val="-3"/>
              </w:rPr>
              <w:t xml:space="preserve">providers, based on their geographical location. As the Council is not </w:t>
            </w:r>
            <w:proofErr w:type="gramStart"/>
            <w:r w:rsidRPr="00A67B9E">
              <w:rPr>
                <w:rFonts w:cs="Arial"/>
                <w:spacing w:val="-3"/>
              </w:rPr>
              <w:t>a</w:t>
            </w:r>
            <w:proofErr w:type="gramEnd"/>
            <w:r w:rsidRPr="00A67B9E">
              <w:rPr>
                <w:rFonts w:cs="Arial"/>
                <w:spacing w:val="-3"/>
              </w:rPr>
              <w:t xml:space="preserve"> NHS organisation MFF </w:t>
            </w:r>
            <w:r w:rsidRPr="00A67B9E">
              <w:rPr>
                <w:rFonts w:cs="Arial"/>
                <w:spacing w:val="-5"/>
              </w:rPr>
              <w:t xml:space="preserve">payments do not apply. </w:t>
            </w:r>
          </w:p>
          <w:p w:rsidR="00C03FF9" w:rsidRPr="00A67B9E" w:rsidRDefault="00C03FF9" w:rsidP="00A67B9E">
            <w:pPr>
              <w:widowControl w:val="0"/>
              <w:autoSpaceDE w:val="0"/>
              <w:autoSpaceDN w:val="0"/>
              <w:adjustRightInd w:val="0"/>
              <w:spacing w:line="273" w:lineRule="exact"/>
              <w:rPr>
                <w:rFonts w:cs="Arial"/>
                <w:b/>
                <w:spacing w:val="-4"/>
              </w:rPr>
            </w:pPr>
          </w:p>
        </w:tc>
      </w:tr>
      <w:tr w:rsidR="00C03FF9" w:rsidRPr="00A67B9E" w:rsidTr="005A2014">
        <w:tc>
          <w:tcPr>
            <w:tcW w:w="4621" w:type="dxa"/>
          </w:tcPr>
          <w:p w:rsidR="00C03FF9" w:rsidRPr="00A67B9E" w:rsidRDefault="00C03FF9" w:rsidP="00A67B9E">
            <w:pPr>
              <w:widowControl w:val="0"/>
              <w:autoSpaceDE w:val="0"/>
              <w:autoSpaceDN w:val="0"/>
              <w:adjustRightInd w:val="0"/>
              <w:spacing w:line="273" w:lineRule="exact"/>
              <w:rPr>
                <w:rFonts w:cs="Arial"/>
                <w:b/>
                <w:spacing w:val="-4"/>
              </w:rPr>
            </w:pPr>
            <w:r w:rsidRPr="00A67B9E">
              <w:rPr>
                <w:rFonts w:cs="Arial"/>
                <w:b/>
                <w:spacing w:val="-4"/>
              </w:rPr>
              <w:t>Open Access</w:t>
            </w:r>
          </w:p>
        </w:tc>
        <w:tc>
          <w:tcPr>
            <w:tcW w:w="4621" w:type="dxa"/>
          </w:tcPr>
          <w:p w:rsidR="007014D5" w:rsidRPr="00A67B9E" w:rsidRDefault="007014D5" w:rsidP="00A67B9E">
            <w:pPr>
              <w:widowControl w:val="0"/>
              <w:autoSpaceDE w:val="0"/>
              <w:autoSpaceDN w:val="0"/>
              <w:adjustRightInd w:val="0"/>
              <w:spacing w:line="285" w:lineRule="exact"/>
              <w:rPr>
                <w:rFonts w:cs="Arial"/>
              </w:rPr>
            </w:pPr>
            <w:r w:rsidRPr="00A67B9E">
              <w:rPr>
                <w:rFonts w:cs="Arial"/>
                <w:spacing w:val="-4"/>
              </w:rPr>
              <w:t xml:space="preserve">Services that are </w:t>
            </w:r>
          </w:p>
          <w:p w:rsidR="007014D5" w:rsidRPr="00A67B9E" w:rsidRDefault="007014D5" w:rsidP="00A67B9E">
            <w:pPr>
              <w:widowControl w:val="0"/>
              <w:autoSpaceDE w:val="0"/>
              <w:autoSpaceDN w:val="0"/>
              <w:adjustRightInd w:val="0"/>
              <w:spacing w:line="275" w:lineRule="exact"/>
              <w:rPr>
                <w:rFonts w:cs="Arial"/>
              </w:rPr>
            </w:pPr>
            <w:r w:rsidRPr="00A67B9E">
              <w:rPr>
                <w:rFonts w:cs="Arial"/>
                <w:spacing w:val="-3"/>
              </w:rPr>
              <w:t xml:space="preserve">available for the benefit of all people </w:t>
            </w:r>
          </w:p>
          <w:p w:rsidR="007014D5" w:rsidRPr="00A67B9E" w:rsidRDefault="007014D5" w:rsidP="00A67B9E">
            <w:pPr>
              <w:widowControl w:val="0"/>
              <w:autoSpaceDE w:val="0"/>
              <w:autoSpaceDN w:val="0"/>
              <w:adjustRightInd w:val="0"/>
              <w:spacing w:line="276" w:lineRule="exact"/>
              <w:rPr>
                <w:rFonts w:cs="Arial"/>
              </w:rPr>
            </w:pPr>
            <w:r w:rsidRPr="00A67B9E">
              <w:rPr>
                <w:rFonts w:cs="Arial"/>
                <w:spacing w:val="-3"/>
              </w:rPr>
              <w:t xml:space="preserve">present in the local authority's area" as </w:t>
            </w:r>
          </w:p>
          <w:p w:rsidR="00C03FF9" w:rsidRPr="00A67B9E" w:rsidRDefault="007014D5" w:rsidP="00A67B9E">
            <w:pPr>
              <w:widowControl w:val="0"/>
              <w:autoSpaceDE w:val="0"/>
              <w:autoSpaceDN w:val="0"/>
              <w:adjustRightInd w:val="0"/>
              <w:spacing w:line="273" w:lineRule="exact"/>
              <w:rPr>
                <w:rFonts w:cs="Arial"/>
                <w:b/>
                <w:spacing w:val="-4"/>
              </w:rPr>
            </w:pPr>
            <w:r w:rsidRPr="00A67B9E">
              <w:rPr>
                <w:rFonts w:cs="Arial"/>
                <w:spacing w:val="-4"/>
              </w:rPr>
              <w:t>stated in The Regulations</w:t>
            </w:r>
          </w:p>
        </w:tc>
      </w:tr>
      <w:tr w:rsidR="00C03FF9" w:rsidRPr="00A67B9E" w:rsidTr="005A2014">
        <w:tc>
          <w:tcPr>
            <w:tcW w:w="4621" w:type="dxa"/>
          </w:tcPr>
          <w:p w:rsidR="00C03FF9" w:rsidRPr="005A2014" w:rsidRDefault="00C03FF9" w:rsidP="00A67B9E">
            <w:pPr>
              <w:widowControl w:val="0"/>
              <w:autoSpaceDE w:val="0"/>
              <w:autoSpaceDN w:val="0"/>
              <w:adjustRightInd w:val="0"/>
              <w:spacing w:line="273" w:lineRule="exact"/>
              <w:rPr>
                <w:rFonts w:cs="Arial"/>
                <w:b/>
                <w:spacing w:val="-4"/>
              </w:rPr>
            </w:pPr>
            <w:r w:rsidRPr="005A2014">
              <w:rPr>
                <w:rFonts w:cs="Arial"/>
                <w:b/>
                <w:spacing w:val="-4"/>
              </w:rPr>
              <w:t>Pathway Analytics</w:t>
            </w:r>
          </w:p>
        </w:tc>
        <w:tc>
          <w:tcPr>
            <w:tcW w:w="4621" w:type="dxa"/>
          </w:tcPr>
          <w:p w:rsidR="00C03FF9" w:rsidRPr="005A2014" w:rsidRDefault="007014D5" w:rsidP="00A67B9E">
            <w:pPr>
              <w:widowControl w:val="0"/>
              <w:autoSpaceDE w:val="0"/>
              <w:autoSpaceDN w:val="0"/>
              <w:adjustRightInd w:val="0"/>
              <w:spacing w:line="273" w:lineRule="exact"/>
              <w:rPr>
                <w:rFonts w:cs="Arial"/>
                <w:b/>
                <w:spacing w:val="-4"/>
              </w:rPr>
            </w:pPr>
            <w:r w:rsidRPr="005A2014">
              <w:rPr>
                <w:rFonts w:cs="Arial"/>
                <w:spacing w:val="-4"/>
              </w:rPr>
              <w:t>Company providing software that enables providers and commissioners to create groups or bundles of sexual and reproductive health services and interventions commonly provided together (www.pathwayanalytics.com)</w:t>
            </w:r>
          </w:p>
        </w:tc>
      </w:tr>
      <w:tr w:rsidR="00C03FF9" w:rsidRPr="00A67B9E" w:rsidTr="005A2014">
        <w:tc>
          <w:tcPr>
            <w:tcW w:w="4621" w:type="dxa"/>
          </w:tcPr>
          <w:p w:rsidR="00C03FF9" w:rsidRPr="00A67B9E" w:rsidRDefault="00C03FF9" w:rsidP="00A67B9E">
            <w:pPr>
              <w:widowControl w:val="0"/>
              <w:autoSpaceDE w:val="0"/>
              <w:autoSpaceDN w:val="0"/>
              <w:adjustRightInd w:val="0"/>
              <w:spacing w:line="273" w:lineRule="exact"/>
              <w:rPr>
                <w:rFonts w:cs="Arial"/>
                <w:b/>
                <w:spacing w:val="-4"/>
              </w:rPr>
            </w:pPr>
            <w:r w:rsidRPr="00A67B9E">
              <w:rPr>
                <w:rFonts w:cs="Arial"/>
                <w:b/>
                <w:spacing w:val="-4"/>
              </w:rPr>
              <w:t>SHAPPT C</w:t>
            </w:r>
            <w:r w:rsidR="005B448B" w:rsidRPr="00A67B9E">
              <w:rPr>
                <w:rFonts w:cs="Arial"/>
                <w:b/>
                <w:spacing w:val="-4"/>
              </w:rPr>
              <w:t>oding</w:t>
            </w:r>
          </w:p>
        </w:tc>
        <w:tc>
          <w:tcPr>
            <w:tcW w:w="4621" w:type="dxa"/>
          </w:tcPr>
          <w:p w:rsidR="005B448B" w:rsidRPr="00A67B9E" w:rsidRDefault="005B448B" w:rsidP="00A67B9E">
            <w:pPr>
              <w:widowControl w:val="0"/>
              <w:autoSpaceDE w:val="0"/>
              <w:autoSpaceDN w:val="0"/>
              <w:adjustRightInd w:val="0"/>
              <w:spacing w:line="287" w:lineRule="exact"/>
              <w:rPr>
                <w:rFonts w:cs="Arial"/>
              </w:rPr>
            </w:pPr>
            <w:r w:rsidRPr="00A67B9E">
              <w:rPr>
                <w:rFonts w:cs="Arial"/>
                <w:spacing w:val="-3"/>
              </w:rPr>
              <w:t xml:space="preserve">Coding used to allocate interventions on </w:t>
            </w:r>
          </w:p>
          <w:p w:rsidR="005B448B" w:rsidRPr="00A67B9E" w:rsidRDefault="005B448B" w:rsidP="00A67B9E">
            <w:pPr>
              <w:widowControl w:val="0"/>
              <w:autoSpaceDE w:val="0"/>
              <w:autoSpaceDN w:val="0"/>
              <w:adjustRightInd w:val="0"/>
              <w:spacing w:line="276" w:lineRule="exact"/>
              <w:rPr>
                <w:rFonts w:cs="Arial"/>
              </w:rPr>
            </w:pPr>
            <w:r w:rsidRPr="00A67B9E">
              <w:rPr>
                <w:rFonts w:cs="Arial"/>
                <w:spacing w:val="-4"/>
              </w:rPr>
              <w:t xml:space="preserve">the GUMCAD system for example, for </w:t>
            </w:r>
            <w:r w:rsidRPr="00A67B9E">
              <w:rPr>
                <w:rFonts w:cs="Arial"/>
                <w:spacing w:val="-3"/>
              </w:rPr>
              <w:t xml:space="preserve">screening of STIs, contraception, HIV </w:t>
            </w:r>
            <w:r w:rsidRPr="00A67B9E">
              <w:rPr>
                <w:rFonts w:cs="Arial"/>
                <w:spacing w:val="-5"/>
              </w:rPr>
              <w:t xml:space="preserve">testing offered etc. </w:t>
            </w:r>
          </w:p>
          <w:p w:rsidR="00C03FF9" w:rsidRPr="00A67B9E" w:rsidRDefault="00C03FF9" w:rsidP="00A67B9E">
            <w:pPr>
              <w:widowControl w:val="0"/>
              <w:autoSpaceDE w:val="0"/>
              <w:autoSpaceDN w:val="0"/>
              <w:adjustRightInd w:val="0"/>
              <w:spacing w:line="273" w:lineRule="exact"/>
              <w:rPr>
                <w:rFonts w:cs="Arial"/>
                <w:b/>
                <w:spacing w:val="-4"/>
              </w:rPr>
            </w:pPr>
          </w:p>
        </w:tc>
      </w:tr>
      <w:tr w:rsidR="00C03FF9" w:rsidRPr="00A67B9E" w:rsidTr="005A2014">
        <w:tc>
          <w:tcPr>
            <w:tcW w:w="4621" w:type="dxa"/>
          </w:tcPr>
          <w:p w:rsidR="00C03FF9" w:rsidRPr="00A67B9E" w:rsidRDefault="00C03FF9" w:rsidP="00A67B9E">
            <w:pPr>
              <w:widowControl w:val="0"/>
              <w:autoSpaceDE w:val="0"/>
              <w:autoSpaceDN w:val="0"/>
              <w:adjustRightInd w:val="0"/>
              <w:spacing w:line="275" w:lineRule="exact"/>
              <w:rPr>
                <w:rFonts w:cs="Arial"/>
              </w:rPr>
            </w:pPr>
            <w:r w:rsidRPr="00A67B9E">
              <w:rPr>
                <w:rFonts w:cs="Arial"/>
                <w:b/>
                <w:bCs/>
                <w:spacing w:val="-4"/>
              </w:rPr>
              <w:t xml:space="preserve">Sexual and Reproductive Healthcare </w:t>
            </w:r>
          </w:p>
          <w:p w:rsidR="00C03FF9" w:rsidRPr="00A67B9E" w:rsidRDefault="00C03FF9" w:rsidP="00A67B9E">
            <w:pPr>
              <w:widowControl w:val="0"/>
              <w:autoSpaceDE w:val="0"/>
              <w:autoSpaceDN w:val="0"/>
              <w:adjustRightInd w:val="0"/>
              <w:spacing w:line="275" w:lineRule="exact"/>
              <w:rPr>
                <w:rFonts w:cs="Arial"/>
                <w:b/>
                <w:bCs/>
                <w:spacing w:val="-7"/>
              </w:rPr>
            </w:pPr>
            <w:r w:rsidRPr="00A67B9E">
              <w:rPr>
                <w:rFonts w:cs="Arial"/>
                <w:b/>
                <w:bCs/>
                <w:spacing w:val="-7"/>
              </w:rPr>
              <w:t xml:space="preserve">Dataset (SRHAD) </w:t>
            </w:r>
          </w:p>
          <w:p w:rsidR="00C03FF9" w:rsidRPr="00A67B9E" w:rsidRDefault="00C03FF9" w:rsidP="00A67B9E">
            <w:pPr>
              <w:widowControl w:val="0"/>
              <w:autoSpaceDE w:val="0"/>
              <w:autoSpaceDN w:val="0"/>
              <w:adjustRightInd w:val="0"/>
              <w:spacing w:line="273" w:lineRule="exact"/>
              <w:rPr>
                <w:rFonts w:cs="Arial"/>
                <w:b/>
                <w:spacing w:val="-4"/>
              </w:rPr>
            </w:pPr>
          </w:p>
        </w:tc>
        <w:tc>
          <w:tcPr>
            <w:tcW w:w="4621" w:type="dxa"/>
          </w:tcPr>
          <w:p w:rsidR="005B448B" w:rsidRPr="00A67B9E" w:rsidRDefault="005B448B" w:rsidP="00A67B9E">
            <w:pPr>
              <w:widowControl w:val="0"/>
              <w:autoSpaceDE w:val="0"/>
              <w:autoSpaceDN w:val="0"/>
              <w:adjustRightInd w:val="0"/>
              <w:spacing w:line="285" w:lineRule="exact"/>
              <w:rPr>
                <w:rFonts w:cs="Arial"/>
              </w:rPr>
            </w:pPr>
            <w:r w:rsidRPr="00A67B9E">
              <w:rPr>
                <w:rFonts w:cs="Arial"/>
                <w:spacing w:val="-3"/>
              </w:rPr>
              <w:t xml:space="preserve">Dataset </w:t>
            </w:r>
            <w:r w:rsidRPr="00A67B9E">
              <w:rPr>
                <w:rFonts w:cs="Arial"/>
                <w:spacing w:val="-4"/>
              </w:rPr>
              <w:t xml:space="preserve">which replaced the former </w:t>
            </w:r>
          </w:p>
          <w:p w:rsidR="00C03FF9" w:rsidRPr="00A67B9E" w:rsidRDefault="005B448B" w:rsidP="00A67B9E">
            <w:pPr>
              <w:widowControl w:val="0"/>
              <w:autoSpaceDE w:val="0"/>
              <w:autoSpaceDN w:val="0"/>
              <w:adjustRightInd w:val="0"/>
              <w:spacing w:line="276" w:lineRule="exact"/>
              <w:rPr>
                <w:rFonts w:cs="Arial"/>
              </w:rPr>
            </w:pPr>
            <w:r w:rsidRPr="00A67B9E">
              <w:rPr>
                <w:rFonts w:cs="Arial"/>
                <w:spacing w:val="-1"/>
              </w:rPr>
              <w:t xml:space="preserve">KT31 contraceptive dataset. It is </w:t>
            </w:r>
            <w:r w:rsidRPr="00A67B9E">
              <w:rPr>
                <w:rFonts w:cs="Arial"/>
                <w:spacing w:val="-3"/>
              </w:rPr>
              <w:t xml:space="preserve">collected from sexual health services by the Health and Social Care Information </w:t>
            </w:r>
            <w:r w:rsidRPr="00A67B9E">
              <w:rPr>
                <w:rFonts w:cs="Arial"/>
                <w:spacing w:val="-6"/>
              </w:rPr>
              <w:t xml:space="preserve">Centre (HSCIC). </w:t>
            </w:r>
          </w:p>
        </w:tc>
      </w:tr>
    </w:tbl>
    <w:p w:rsidR="002161D0" w:rsidRPr="00A67B9E" w:rsidRDefault="002161D0" w:rsidP="00A67B9E">
      <w:pPr>
        <w:pStyle w:val="NoSpacing"/>
        <w:rPr>
          <w:rFonts w:cs="Arial"/>
        </w:rPr>
      </w:pPr>
    </w:p>
    <w:sectPr w:rsidR="002161D0" w:rsidRPr="00A67B9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40D" w:rsidRDefault="0097140D" w:rsidP="0029668B">
      <w:r>
        <w:separator/>
      </w:r>
    </w:p>
  </w:endnote>
  <w:endnote w:type="continuationSeparator" w:id="0">
    <w:p w:rsidR="0097140D" w:rsidRDefault="0097140D" w:rsidP="0029668B">
      <w:r>
        <w:continuationSeparator/>
      </w:r>
    </w:p>
  </w:endnote>
  <w:endnote w:type="continuationNotice" w:id="1">
    <w:p w:rsidR="0097140D" w:rsidRDefault="00971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A2" w:rsidRDefault="00993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43608"/>
      <w:docPartObj>
        <w:docPartGallery w:val="Page Numbers (Bottom of Page)"/>
        <w:docPartUnique/>
      </w:docPartObj>
    </w:sdtPr>
    <w:sdtEndPr>
      <w:rPr>
        <w:noProof/>
      </w:rPr>
    </w:sdtEndPr>
    <w:sdtContent>
      <w:p w:rsidR="009934A2" w:rsidRDefault="009934A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9934A2" w:rsidRDefault="00993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A2" w:rsidRDefault="0099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40D" w:rsidRDefault="0097140D" w:rsidP="0029668B">
      <w:r>
        <w:separator/>
      </w:r>
    </w:p>
  </w:footnote>
  <w:footnote w:type="continuationSeparator" w:id="0">
    <w:p w:rsidR="0097140D" w:rsidRDefault="0097140D" w:rsidP="0029668B">
      <w:r>
        <w:continuationSeparator/>
      </w:r>
    </w:p>
  </w:footnote>
  <w:footnote w:type="continuationNotice" w:id="1">
    <w:p w:rsidR="0097140D" w:rsidRDefault="0097140D"/>
  </w:footnote>
  <w:footnote w:id="2">
    <w:p w:rsidR="009934A2" w:rsidRDefault="009934A2" w:rsidP="008F51FC">
      <w:pPr>
        <w:pStyle w:val="FootnoteText"/>
      </w:pPr>
      <w:r>
        <w:rPr>
          <w:rStyle w:val="FootnoteReference"/>
        </w:rPr>
        <w:footnoteRef/>
      </w:r>
      <w:r>
        <w:t xml:space="preserve"> </w:t>
      </w:r>
      <w:hyperlink r:id="rId1" w:history="1">
        <w:r w:rsidRPr="009934A2">
          <w:rPr>
            <w:rStyle w:val="Hyperlink"/>
          </w:rPr>
          <w:t>Sexual Health Services: Key Principles for Cross Charging Updated guidance for commissioners and providers of sexual and reproductive health services in England</w:t>
        </w:r>
      </w:hyperlink>
      <w:r>
        <w:t>, DHSC, 2018.</w:t>
      </w:r>
    </w:p>
  </w:footnote>
  <w:footnote w:id="3">
    <w:p w:rsidR="009934A2" w:rsidRDefault="009934A2">
      <w:pPr>
        <w:pStyle w:val="FootnoteText"/>
      </w:pPr>
      <w:r>
        <w:rPr>
          <w:rStyle w:val="FootnoteReference"/>
        </w:rPr>
        <w:footnoteRef/>
      </w:r>
      <w:r>
        <w:t xml:space="preserve"> </w:t>
      </w:r>
      <w:r>
        <w:rPr>
          <w:rFonts w:cs="Arial"/>
          <w:spacing w:val="-1"/>
          <w:sz w:val="19"/>
          <w:szCs w:val="19"/>
        </w:rPr>
        <w:t>This will be based on the last published Department of Health non-mandatory GUM tariff in 2015/16 as £131 for first appointment and £103 for follow up.</w:t>
      </w:r>
    </w:p>
  </w:footnote>
  <w:footnote w:id="4">
    <w:p w:rsidR="009934A2" w:rsidRDefault="009934A2">
      <w:pPr>
        <w:pStyle w:val="FootnoteText"/>
      </w:pPr>
      <w:r>
        <w:rPr>
          <w:rStyle w:val="FootnoteReference"/>
        </w:rPr>
        <w:footnoteRef/>
      </w:r>
      <w:r>
        <w:t xml:space="preserve"> NHS Data Security and Protection Toolkit </w:t>
      </w:r>
      <w:hyperlink r:id="rId2" w:history="1">
        <w:r w:rsidRPr="00C70865">
          <w:rPr>
            <w:rStyle w:val="Hyperlink"/>
          </w:rPr>
          <w:t>https://www.dsptoolkit.nhs.uk/</w:t>
        </w:r>
      </w:hyperlink>
    </w:p>
    <w:p w:rsidR="009934A2" w:rsidRDefault="009934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A2" w:rsidRDefault="00993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A2" w:rsidRDefault="00993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A2" w:rsidRDefault="0099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1EC0"/>
    <w:multiLevelType w:val="hybridMultilevel"/>
    <w:tmpl w:val="CAFEF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6F2985"/>
    <w:multiLevelType w:val="multilevel"/>
    <w:tmpl w:val="063EF5B6"/>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D310D6"/>
    <w:multiLevelType w:val="hybridMultilevel"/>
    <w:tmpl w:val="2AB03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96BAB"/>
    <w:multiLevelType w:val="hybridMultilevel"/>
    <w:tmpl w:val="82047330"/>
    <w:lvl w:ilvl="0" w:tplc="695086C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736BBC"/>
    <w:multiLevelType w:val="hybridMultilevel"/>
    <w:tmpl w:val="C3F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A1F99"/>
    <w:multiLevelType w:val="hybridMultilevel"/>
    <w:tmpl w:val="981AC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83AE6"/>
    <w:multiLevelType w:val="hybridMultilevel"/>
    <w:tmpl w:val="A178F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FA"/>
    <w:rsid w:val="0008791E"/>
    <w:rsid w:val="00103504"/>
    <w:rsid w:val="001315E3"/>
    <w:rsid w:val="0019185F"/>
    <w:rsid w:val="001C79A7"/>
    <w:rsid w:val="002161D0"/>
    <w:rsid w:val="00237B12"/>
    <w:rsid w:val="0024573C"/>
    <w:rsid w:val="0027493D"/>
    <w:rsid w:val="0029668B"/>
    <w:rsid w:val="002B7056"/>
    <w:rsid w:val="00337F3F"/>
    <w:rsid w:val="003646D2"/>
    <w:rsid w:val="00371DF3"/>
    <w:rsid w:val="003C6244"/>
    <w:rsid w:val="0040207F"/>
    <w:rsid w:val="00430056"/>
    <w:rsid w:val="004455D6"/>
    <w:rsid w:val="00461BF6"/>
    <w:rsid w:val="00464315"/>
    <w:rsid w:val="0048189A"/>
    <w:rsid w:val="004864A4"/>
    <w:rsid w:val="004B30B3"/>
    <w:rsid w:val="004C06B8"/>
    <w:rsid w:val="004D03FD"/>
    <w:rsid w:val="0050462E"/>
    <w:rsid w:val="00551AFC"/>
    <w:rsid w:val="0057555B"/>
    <w:rsid w:val="005A2014"/>
    <w:rsid w:val="005B448B"/>
    <w:rsid w:val="005D148D"/>
    <w:rsid w:val="00612994"/>
    <w:rsid w:val="006545B4"/>
    <w:rsid w:val="00692FFA"/>
    <w:rsid w:val="006B7406"/>
    <w:rsid w:val="006C368A"/>
    <w:rsid w:val="006C6371"/>
    <w:rsid w:val="006D34E6"/>
    <w:rsid w:val="00700B6E"/>
    <w:rsid w:val="007014D5"/>
    <w:rsid w:val="00783B71"/>
    <w:rsid w:val="00830616"/>
    <w:rsid w:val="00866465"/>
    <w:rsid w:val="008A110E"/>
    <w:rsid w:val="008F51FC"/>
    <w:rsid w:val="00902743"/>
    <w:rsid w:val="00912B5D"/>
    <w:rsid w:val="00937EFF"/>
    <w:rsid w:val="009457C2"/>
    <w:rsid w:val="0097140D"/>
    <w:rsid w:val="009934A2"/>
    <w:rsid w:val="009969E7"/>
    <w:rsid w:val="009B607B"/>
    <w:rsid w:val="00A359C8"/>
    <w:rsid w:val="00A67B9E"/>
    <w:rsid w:val="00AA4EAC"/>
    <w:rsid w:val="00AB094C"/>
    <w:rsid w:val="00AE2989"/>
    <w:rsid w:val="00B51221"/>
    <w:rsid w:val="00B57742"/>
    <w:rsid w:val="00B75E4E"/>
    <w:rsid w:val="00B81270"/>
    <w:rsid w:val="00B920B6"/>
    <w:rsid w:val="00B93010"/>
    <w:rsid w:val="00BB416C"/>
    <w:rsid w:val="00BE0E5D"/>
    <w:rsid w:val="00BF2405"/>
    <w:rsid w:val="00BF3801"/>
    <w:rsid w:val="00C03FF9"/>
    <w:rsid w:val="00C10708"/>
    <w:rsid w:val="00C57CE7"/>
    <w:rsid w:val="00C76904"/>
    <w:rsid w:val="00CD7E00"/>
    <w:rsid w:val="00D46CA5"/>
    <w:rsid w:val="00D54215"/>
    <w:rsid w:val="00D66404"/>
    <w:rsid w:val="00EE072D"/>
    <w:rsid w:val="00EF3EB7"/>
    <w:rsid w:val="00F14FC5"/>
    <w:rsid w:val="00F22EE4"/>
    <w:rsid w:val="00F534A5"/>
    <w:rsid w:val="00F81DC5"/>
    <w:rsid w:val="00FB0B48"/>
    <w:rsid w:val="00FB18C7"/>
    <w:rsid w:val="00FD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28F48"/>
  <w15:docId w15:val="{2385E23B-D197-4893-A705-CA672FB7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customStyle="1" w:styleId="Default">
    <w:name w:val="Default"/>
    <w:rsid w:val="00692FFA"/>
    <w:pPr>
      <w:autoSpaceDE w:val="0"/>
      <w:autoSpaceDN w:val="0"/>
      <w:adjustRightInd w:val="0"/>
    </w:pPr>
    <w:rPr>
      <w:rFonts w:cs="Arial"/>
      <w:color w:val="000000"/>
      <w:sz w:val="24"/>
      <w:szCs w:val="24"/>
    </w:rPr>
  </w:style>
  <w:style w:type="paragraph" w:styleId="FootnoteText">
    <w:name w:val="footnote text"/>
    <w:basedOn w:val="Normal"/>
    <w:link w:val="FootnoteTextChar"/>
    <w:uiPriority w:val="99"/>
    <w:semiHidden/>
    <w:unhideWhenUsed/>
    <w:rsid w:val="0029668B"/>
    <w:rPr>
      <w:sz w:val="20"/>
      <w:szCs w:val="20"/>
    </w:rPr>
  </w:style>
  <w:style w:type="character" w:customStyle="1" w:styleId="FootnoteTextChar">
    <w:name w:val="Footnote Text Char"/>
    <w:basedOn w:val="DefaultParagraphFont"/>
    <w:link w:val="FootnoteText"/>
    <w:uiPriority w:val="99"/>
    <w:semiHidden/>
    <w:rsid w:val="0029668B"/>
    <w:rPr>
      <w:sz w:val="20"/>
      <w:szCs w:val="20"/>
    </w:rPr>
  </w:style>
  <w:style w:type="character" w:styleId="FootnoteReference">
    <w:name w:val="footnote reference"/>
    <w:basedOn w:val="DefaultParagraphFont"/>
    <w:uiPriority w:val="99"/>
    <w:semiHidden/>
    <w:unhideWhenUsed/>
    <w:rsid w:val="0029668B"/>
    <w:rPr>
      <w:vertAlign w:val="superscript"/>
    </w:rPr>
  </w:style>
  <w:style w:type="character" w:styleId="CommentReference">
    <w:name w:val="annotation reference"/>
    <w:basedOn w:val="DefaultParagraphFont"/>
    <w:uiPriority w:val="99"/>
    <w:semiHidden/>
    <w:unhideWhenUsed/>
    <w:rsid w:val="00CD7E00"/>
    <w:rPr>
      <w:sz w:val="16"/>
      <w:szCs w:val="16"/>
    </w:rPr>
  </w:style>
  <w:style w:type="paragraph" w:styleId="CommentText">
    <w:name w:val="annotation text"/>
    <w:basedOn w:val="Normal"/>
    <w:link w:val="CommentTextChar"/>
    <w:uiPriority w:val="99"/>
    <w:unhideWhenUsed/>
    <w:rsid w:val="00CD7E00"/>
    <w:rPr>
      <w:sz w:val="20"/>
      <w:szCs w:val="20"/>
    </w:rPr>
  </w:style>
  <w:style w:type="character" w:customStyle="1" w:styleId="CommentTextChar">
    <w:name w:val="Comment Text Char"/>
    <w:basedOn w:val="DefaultParagraphFont"/>
    <w:link w:val="CommentText"/>
    <w:uiPriority w:val="99"/>
    <w:rsid w:val="00CD7E00"/>
    <w:rPr>
      <w:sz w:val="20"/>
      <w:szCs w:val="20"/>
    </w:rPr>
  </w:style>
  <w:style w:type="paragraph" w:styleId="CommentSubject">
    <w:name w:val="annotation subject"/>
    <w:basedOn w:val="CommentText"/>
    <w:next w:val="CommentText"/>
    <w:link w:val="CommentSubjectChar"/>
    <w:uiPriority w:val="99"/>
    <w:semiHidden/>
    <w:unhideWhenUsed/>
    <w:rsid w:val="00CD7E00"/>
    <w:rPr>
      <w:b/>
      <w:bCs/>
    </w:rPr>
  </w:style>
  <w:style w:type="character" w:customStyle="1" w:styleId="CommentSubjectChar">
    <w:name w:val="Comment Subject Char"/>
    <w:basedOn w:val="CommentTextChar"/>
    <w:link w:val="CommentSubject"/>
    <w:uiPriority w:val="99"/>
    <w:semiHidden/>
    <w:rsid w:val="00CD7E00"/>
    <w:rPr>
      <w:b/>
      <w:bCs/>
      <w:sz w:val="20"/>
      <w:szCs w:val="20"/>
    </w:rPr>
  </w:style>
  <w:style w:type="paragraph" w:styleId="BalloonText">
    <w:name w:val="Balloon Text"/>
    <w:basedOn w:val="Normal"/>
    <w:link w:val="BalloonTextChar"/>
    <w:uiPriority w:val="99"/>
    <w:semiHidden/>
    <w:unhideWhenUsed/>
    <w:rsid w:val="00CD7E00"/>
    <w:rPr>
      <w:rFonts w:ascii="Tahoma" w:hAnsi="Tahoma" w:cs="Tahoma"/>
      <w:sz w:val="16"/>
      <w:szCs w:val="16"/>
    </w:rPr>
  </w:style>
  <w:style w:type="character" w:customStyle="1" w:styleId="BalloonTextChar">
    <w:name w:val="Balloon Text Char"/>
    <w:basedOn w:val="DefaultParagraphFont"/>
    <w:link w:val="BalloonText"/>
    <w:uiPriority w:val="99"/>
    <w:semiHidden/>
    <w:rsid w:val="00CD7E00"/>
    <w:rPr>
      <w:rFonts w:ascii="Tahoma" w:hAnsi="Tahoma" w:cs="Tahoma"/>
      <w:sz w:val="16"/>
      <w:szCs w:val="16"/>
    </w:rPr>
  </w:style>
  <w:style w:type="paragraph" w:styleId="ListParagraph">
    <w:name w:val="List Paragraph"/>
    <w:basedOn w:val="Normal"/>
    <w:uiPriority w:val="34"/>
    <w:qFormat/>
    <w:rsid w:val="00CD7E00"/>
    <w:pPr>
      <w:ind w:left="720"/>
      <w:contextualSpacing/>
    </w:pPr>
  </w:style>
  <w:style w:type="table" w:styleId="TableGrid">
    <w:name w:val="Table Grid"/>
    <w:basedOn w:val="TableNormal"/>
    <w:uiPriority w:val="59"/>
    <w:rsid w:val="00AB0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094C"/>
    <w:pPr>
      <w:spacing w:after="200"/>
    </w:pPr>
    <w:rPr>
      <w:b/>
      <w:bCs/>
      <w:color w:val="4F81BD" w:themeColor="accent1"/>
      <w:sz w:val="18"/>
      <w:szCs w:val="18"/>
    </w:rPr>
  </w:style>
  <w:style w:type="paragraph" w:styleId="Header">
    <w:name w:val="header"/>
    <w:basedOn w:val="Normal"/>
    <w:link w:val="HeaderChar"/>
    <w:uiPriority w:val="99"/>
    <w:unhideWhenUsed/>
    <w:rsid w:val="005B448B"/>
    <w:pPr>
      <w:tabs>
        <w:tab w:val="center" w:pos="4513"/>
        <w:tab w:val="right" w:pos="9026"/>
      </w:tabs>
    </w:pPr>
  </w:style>
  <w:style w:type="character" w:customStyle="1" w:styleId="HeaderChar">
    <w:name w:val="Header Char"/>
    <w:basedOn w:val="DefaultParagraphFont"/>
    <w:link w:val="Header"/>
    <w:uiPriority w:val="99"/>
    <w:rsid w:val="005B448B"/>
  </w:style>
  <w:style w:type="paragraph" w:styleId="Footer">
    <w:name w:val="footer"/>
    <w:basedOn w:val="Normal"/>
    <w:link w:val="FooterChar"/>
    <w:uiPriority w:val="99"/>
    <w:unhideWhenUsed/>
    <w:rsid w:val="005B448B"/>
    <w:pPr>
      <w:tabs>
        <w:tab w:val="center" w:pos="4513"/>
        <w:tab w:val="right" w:pos="9026"/>
      </w:tabs>
    </w:pPr>
  </w:style>
  <w:style w:type="character" w:customStyle="1" w:styleId="FooterChar">
    <w:name w:val="Footer Char"/>
    <w:basedOn w:val="DefaultParagraphFont"/>
    <w:link w:val="Footer"/>
    <w:uiPriority w:val="99"/>
    <w:rsid w:val="005B448B"/>
  </w:style>
  <w:style w:type="paragraph" w:styleId="Revision">
    <w:name w:val="Revision"/>
    <w:hidden/>
    <w:uiPriority w:val="99"/>
    <w:semiHidden/>
    <w:rsid w:val="00902743"/>
  </w:style>
  <w:style w:type="character" w:styleId="Hyperlink">
    <w:name w:val="Hyperlink"/>
    <w:basedOn w:val="DefaultParagraphFont"/>
    <w:uiPriority w:val="99"/>
    <w:unhideWhenUsed/>
    <w:rsid w:val="00B93010"/>
    <w:rPr>
      <w:color w:val="0000FF" w:themeColor="hyperlink"/>
      <w:u w:val="single"/>
    </w:rPr>
  </w:style>
  <w:style w:type="character" w:styleId="UnresolvedMention">
    <w:name w:val="Unresolved Mention"/>
    <w:basedOn w:val="DefaultParagraphFont"/>
    <w:uiPriority w:val="99"/>
    <w:semiHidden/>
    <w:unhideWhenUsed/>
    <w:rsid w:val="00B9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0140">
      <w:bodyDiv w:val="1"/>
      <w:marLeft w:val="0"/>
      <w:marRight w:val="0"/>
      <w:marTop w:val="0"/>
      <w:marBottom w:val="0"/>
      <w:divBdr>
        <w:top w:val="none" w:sz="0" w:space="0" w:color="auto"/>
        <w:left w:val="none" w:sz="0" w:space="0" w:color="auto"/>
        <w:bottom w:val="none" w:sz="0" w:space="0" w:color="auto"/>
        <w:right w:val="none" w:sz="0" w:space="0" w:color="auto"/>
      </w:divBdr>
      <w:divsChild>
        <w:div w:id="2071414805">
          <w:marLeft w:val="0"/>
          <w:marRight w:val="0"/>
          <w:marTop w:val="0"/>
          <w:marBottom w:val="0"/>
          <w:divBdr>
            <w:top w:val="none" w:sz="0" w:space="0" w:color="auto"/>
            <w:left w:val="none" w:sz="0" w:space="0" w:color="auto"/>
            <w:bottom w:val="none" w:sz="0" w:space="0" w:color="auto"/>
            <w:right w:val="none" w:sz="0" w:space="0" w:color="auto"/>
          </w:divBdr>
          <w:divsChild>
            <w:div w:id="459689322">
              <w:marLeft w:val="0"/>
              <w:marRight w:val="0"/>
              <w:marTop w:val="0"/>
              <w:marBottom w:val="0"/>
              <w:divBdr>
                <w:top w:val="none" w:sz="0" w:space="0" w:color="auto"/>
                <w:left w:val="none" w:sz="0" w:space="0" w:color="auto"/>
                <w:bottom w:val="none" w:sz="0" w:space="0" w:color="auto"/>
                <w:right w:val="none" w:sz="0" w:space="0" w:color="auto"/>
              </w:divBdr>
              <w:divsChild>
                <w:div w:id="1749886482">
                  <w:marLeft w:val="0"/>
                  <w:marRight w:val="0"/>
                  <w:marTop w:val="195"/>
                  <w:marBottom w:val="0"/>
                  <w:divBdr>
                    <w:top w:val="none" w:sz="0" w:space="0" w:color="auto"/>
                    <w:left w:val="none" w:sz="0" w:space="0" w:color="auto"/>
                    <w:bottom w:val="none" w:sz="0" w:space="0" w:color="auto"/>
                    <w:right w:val="none" w:sz="0" w:space="0" w:color="auto"/>
                  </w:divBdr>
                  <w:divsChild>
                    <w:div w:id="594826922">
                      <w:marLeft w:val="0"/>
                      <w:marRight w:val="0"/>
                      <w:marTop w:val="0"/>
                      <w:marBottom w:val="0"/>
                      <w:divBdr>
                        <w:top w:val="none" w:sz="0" w:space="0" w:color="auto"/>
                        <w:left w:val="none" w:sz="0" w:space="0" w:color="auto"/>
                        <w:bottom w:val="none" w:sz="0" w:space="0" w:color="auto"/>
                        <w:right w:val="none" w:sz="0" w:space="0" w:color="auto"/>
                      </w:divBdr>
                      <w:divsChild>
                        <w:div w:id="325324315">
                          <w:marLeft w:val="0"/>
                          <w:marRight w:val="0"/>
                          <w:marTop w:val="0"/>
                          <w:marBottom w:val="0"/>
                          <w:divBdr>
                            <w:top w:val="none" w:sz="0" w:space="0" w:color="auto"/>
                            <w:left w:val="none" w:sz="0" w:space="0" w:color="auto"/>
                            <w:bottom w:val="none" w:sz="0" w:space="0" w:color="auto"/>
                            <w:right w:val="none" w:sz="0" w:space="0" w:color="auto"/>
                          </w:divBdr>
                          <w:divsChild>
                            <w:div w:id="336494211">
                              <w:marLeft w:val="0"/>
                              <w:marRight w:val="0"/>
                              <w:marTop w:val="0"/>
                              <w:marBottom w:val="0"/>
                              <w:divBdr>
                                <w:top w:val="none" w:sz="0" w:space="0" w:color="auto"/>
                                <w:left w:val="none" w:sz="0" w:space="0" w:color="auto"/>
                                <w:bottom w:val="none" w:sz="0" w:space="0" w:color="auto"/>
                                <w:right w:val="none" w:sz="0" w:space="0" w:color="auto"/>
                              </w:divBdr>
                              <w:divsChild>
                                <w:div w:id="1219778987">
                                  <w:marLeft w:val="0"/>
                                  <w:marRight w:val="0"/>
                                  <w:marTop w:val="0"/>
                                  <w:marBottom w:val="0"/>
                                  <w:divBdr>
                                    <w:top w:val="none" w:sz="0" w:space="0" w:color="auto"/>
                                    <w:left w:val="none" w:sz="0" w:space="0" w:color="auto"/>
                                    <w:bottom w:val="none" w:sz="0" w:space="0" w:color="auto"/>
                                    <w:right w:val="none" w:sz="0" w:space="0" w:color="auto"/>
                                  </w:divBdr>
                                  <w:divsChild>
                                    <w:div w:id="996492641">
                                      <w:marLeft w:val="0"/>
                                      <w:marRight w:val="0"/>
                                      <w:marTop w:val="0"/>
                                      <w:marBottom w:val="0"/>
                                      <w:divBdr>
                                        <w:top w:val="none" w:sz="0" w:space="0" w:color="auto"/>
                                        <w:left w:val="none" w:sz="0" w:space="0" w:color="auto"/>
                                        <w:bottom w:val="none" w:sz="0" w:space="0" w:color="auto"/>
                                        <w:right w:val="none" w:sz="0" w:space="0" w:color="auto"/>
                                      </w:divBdr>
                                      <w:divsChild>
                                        <w:div w:id="1225721741">
                                          <w:marLeft w:val="0"/>
                                          <w:marRight w:val="0"/>
                                          <w:marTop w:val="90"/>
                                          <w:marBottom w:val="0"/>
                                          <w:divBdr>
                                            <w:top w:val="none" w:sz="0" w:space="0" w:color="auto"/>
                                            <w:left w:val="none" w:sz="0" w:space="0" w:color="auto"/>
                                            <w:bottom w:val="none" w:sz="0" w:space="0" w:color="auto"/>
                                            <w:right w:val="none" w:sz="0" w:space="0" w:color="auto"/>
                                          </w:divBdr>
                                          <w:divsChild>
                                            <w:div w:id="2062173758">
                                              <w:marLeft w:val="0"/>
                                              <w:marRight w:val="0"/>
                                              <w:marTop w:val="0"/>
                                              <w:marBottom w:val="0"/>
                                              <w:divBdr>
                                                <w:top w:val="none" w:sz="0" w:space="0" w:color="auto"/>
                                                <w:left w:val="none" w:sz="0" w:space="0" w:color="auto"/>
                                                <w:bottom w:val="none" w:sz="0" w:space="0" w:color="auto"/>
                                                <w:right w:val="none" w:sz="0" w:space="0" w:color="auto"/>
                                              </w:divBdr>
                                              <w:divsChild>
                                                <w:div w:id="661936027">
                                                  <w:marLeft w:val="0"/>
                                                  <w:marRight w:val="0"/>
                                                  <w:marTop w:val="0"/>
                                                  <w:marBottom w:val="0"/>
                                                  <w:divBdr>
                                                    <w:top w:val="none" w:sz="0" w:space="0" w:color="auto"/>
                                                    <w:left w:val="none" w:sz="0" w:space="0" w:color="auto"/>
                                                    <w:bottom w:val="none" w:sz="0" w:space="0" w:color="auto"/>
                                                    <w:right w:val="none" w:sz="0" w:space="0" w:color="auto"/>
                                                  </w:divBdr>
                                                  <w:divsChild>
                                                    <w:div w:id="737215756">
                                                      <w:marLeft w:val="0"/>
                                                      <w:marRight w:val="0"/>
                                                      <w:marTop w:val="0"/>
                                                      <w:marBottom w:val="180"/>
                                                      <w:divBdr>
                                                        <w:top w:val="none" w:sz="0" w:space="0" w:color="auto"/>
                                                        <w:left w:val="none" w:sz="0" w:space="0" w:color="auto"/>
                                                        <w:bottom w:val="none" w:sz="0" w:space="0" w:color="auto"/>
                                                        <w:right w:val="none" w:sz="0" w:space="0" w:color="auto"/>
                                                      </w:divBdr>
                                                      <w:divsChild>
                                                        <w:div w:id="532153075">
                                                          <w:marLeft w:val="0"/>
                                                          <w:marRight w:val="0"/>
                                                          <w:marTop w:val="0"/>
                                                          <w:marBottom w:val="0"/>
                                                          <w:divBdr>
                                                            <w:top w:val="none" w:sz="0" w:space="0" w:color="auto"/>
                                                            <w:left w:val="none" w:sz="0" w:space="0" w:color="auto"/>
                                                            <w:bottom w:val="none" w:sz="0" w:space="0" w:color="auto"/>
                                                            <w:right w:val="none" w:sz="0" w:space="0" w:color="auto"/>
                                                          </w:divBdr>
                                                          <w:divsChild>
                                                            <w:div w:id="1292980027">
                                                              <w:marLeft w:val="0"/>
                                                              <w:marRight w:val="0"/>
                                                              <w:marTop w:val="0"/>
                                                              <w:marBottom w:val="0"/>
                                                              <w:divBdr>
                                                                <w:top w:val="none" w:sz="0" w:space="0" w:color="auto"/>
                                                                <w:left w:val="none" w:sz="0" w:space="0" w:color="auto"/>
                                                                <w:bottom w:val="none" w:sz="0" w:space="0" w:color="auto"/>
                                                                <w:right w:val="none" w:sz="0" w:space="0" w:color="auto"/>
                                                              </w:divBdr>
                                                              <w:divsChild>
                                                                <w:div w:id="973363785">
                                                                  <w:marLeft w:val="0"/>
                                                                  <w:marRight w:val="0"/>
                                                                  <w:marTop w:val="0"/>
                                                                  <w:marBottom w:val="0"/>
                                                                  <w:divBdr>
                                                                    <w:top w:val="none" w:sz="0" w:space="0" w:color="auto"/>
                                                                    <w:left w:val="none" w:sz="0" w:space="0" w:color="auto"/>
                                                                    <w:bottom w:val="none" w:sz="0" w:space="0" w:color="auto"/>
                                                                    <w:right w:val="none" w:sz="0" w:space="0" w:color="auto"/>
                                                                  </w:divBdr>
                                                                  <w:divsChild>
                                                                    <w:div w:id="490100907">
                                                                      <w:marLeft w:val="0"/>
                                                                      <w:marRight w:val="0"/>
                                                                      <w:marTop w:val="0"/>
                                                                      <w:marBottom w:val="0"/>
                                                                      <w:divBdr>
                                                                        <w:top w:val="none" w:sz="0" w:space="0" w:color="auto"/>
                                                                        <w:left w:val="none" w:sz="0" w:space="0" w:color="auto"/>
                                                                        <w:bottom w:val="none" w:sz="0" w:space="0" w:color="auto"/>
                                                                        <w:right w:val="none" w:sz="0" w:space="0" w:color="auto"/>
                                                                      </w:divBdr>
                                                                      <w:divsChild>
                                                                        <w:div w:id="1583954045">
                                                                          <w:marLeft w:val="0"/>
                                                                          <w:marRight w:val="0"/>
                                                                          <w:marTop w:val="0"/>
                                                                          <w:marBottom w:val="0"/>
                                                                          <w:divBdr>
                                                                            <w:top w:val="none" w:sz="0" w:space="0" w:color="auto"/>
                                                                            <w:left w:val="none" w:sz="0" w:space="0" w:color="auto"/>
                                                                            <w:bottom w:val="none" w:sz="0" w:space="0" w:color="auto"/>
                                                                            <w:right w:val="none" w:sz="0" w:space="0" w:color="auto"/>
                                                                          </w:divBdr>
                                                                          <w:divsChild>
                                                                            <w:div w:id="17265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missioning-regional-and-local-sexual-health-services" TargetMode="Externa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mmissioning-regional-and-local-sexual-health-servi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226325/Sexual_Health_Key_Principles_for_cross_charging.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uploads/system/uploads/attachment_data/file/226325/Sexual_Health_Key_Principles_for_cross_charging.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dsptoolkit.nhs.uk/" TargetMode="External"/><Relationship Id="rId1" Type="http://schemas.openxmlformats.org/officeDocument/2006/relationships/hyperlink" Target="https://assets.publishing.service.gov.uk/government/uploads/system/uploads/attachment_data/file/731134/sexual-health-services-cross-charg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1713-5906-402A-ABC9-E0ABA407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Jefferies</dc:creator>
  <cp:lastModifiedBy>Andrea Gosling</cp:lastModifiedBy>
  <cp:revision>1</cp:revision>
  <dcterms:created xsi:type="dcterms:W3CDTF">2020-09-18T10:23:00Z</dcterms:created>
  <dcterms:modified xsi:type="dcterms:W3CDTF">2020-09-18T10:23:00Z</dcterms:modified>
</cp:coreProperties>
</file>